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9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61"/>
        <w:gridCol w:w="1718"/>
      </w:tblGrid>
      <w:tr w:rsidR="00743649" w:rsidRPr="00E77683" w14:paraId="4000B20B" w14:textId="77777777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3A7EAC75" w14:textId="77777777" w:rsidR="00743649" w:rsidRDefault="00743649" w:rsidP="00B1226A">
            <w:pPr>
              <w:pStyle w:val="name"/>
              <w:rPr>
                <w:sz w:val="28"/>
              </w:rPr>
            </w:pPr>
            <w:r>
              <w:rPr>
                <w:sz w:val="28"/>
              </w:rPr>
              <w:t>Ryan A. Lowery</w:t>
            </w:r>
          </w:p>
          <w:p w14:paraId="28AAEADC" w14:textId="77777777" w:rsidR="00743649" w:rsidRPr="004C34FA" w:rsidRDefault="00743649" w:rsidP="00B1226A">
            <w:pPr>
              <w:pStyle w:val="name"/>
              <w:rPr>
                <w:sz w:val="8"/>
                <w:szCs w:val="8"/>
              </w:rPr>
            </w:pPr>
          </w:p>
        </w:tc>
      </w:tr>
      <w:tr w:rsidR="00743649" w14:paraId="2888A52F" w14:textId="77777777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75BB2BB5" w14:textId="210FDCB4" w:rsidR="00743649" w:rsidRPr="00B00DFC" w:rsidRDefault="00743649" w:rsidP="00B00DFC">
            <w:pPr>
              <w:pStyle w:val="address"/>
              <w:rPr>
                <w:sz w:val="24"/>
              </w:rPr>
            </w:pPr>
            <w:r w:rsidRPr="00B00DFC">
              <w:rPr>
                <w:sz w:val="24"/>
              </w:rPr>
              <w:t xml:space="preserve"> </w:t>
            </w:r>
            <w:hyperlink r:id="rId8" w:history="1">
              <w:r w:rsidR="00A3512F" w:rsidRPr="002120F4">
                <w:rPr>
                  <w:rStyle w:val="Hyperlink"/>
                  <w:sz w:val="24"/>
                </w:rPr>
                <w:t>rlowery@uga.edu</w:t>
              </w:r>
            </w:hyperlink>
          </w:p>
        </w:tc>
      </w:tr>
      <w:tr w:rsidR="00743649" w:rsidRPr="00E77683" w14:paraId="55B20286" w14:textId="77777777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1D35BB3E" w14:textId="77777777" w:rsidR="00743649" w:rsidRPr="00A43D28" w:rsidRDefault="00743649" w:rsidP="00E77683">
            <w:pPr>
              <w:jc w:val="center"/>
              <w:rPr>
                <w:b/>
                <w:szCs w:val="20"/>
              </w:rPr>
            </w:pPr>
          </w:p>
          <w:p w14:paraId="315CF1B9" w14:textId="77777777" w:rsidR="00743649" w:rsidRPr="00E77683" w:rsidRDefault="00743649" w:rsidP="00E77683">
            <w:pPr>
              <w:jc w:val="center"/>
              <w:rPr>
                <w:b/>
                <w:sz w:val="22"/>
              </w:rPr>
            </w:pPr>
            <w:r w:rsidRPr="00E77683">
              <w:rPr>
                <w:b/>
                <w:sz w:val="22"/>
                <w:szCs w:val="22"/>
              </w:rPr>
              <w:t>EDUCATION</w:t>
            </w:r>
          </w:p>
        </w:tc>
      </w:tr>
      <w:tr w:rsidR="00743649" w:rsidRPr="00ED7730" w14:paraId="45505EB0" w14:textId="77777777">
        <w:trPr>
          <w:cantSplit/>
          <w:trHeight w:val="20"/>
          <w:jc w:val="center"/>
        </w:trPr>
        <w:tc>
          <w:tcPr>
            <w:tcW w:w="8861" w:type="dxa"/>
          </w:tcPr>
          <w:p w14:paraId="2917B0FD" w14:textId="77777777" w:rsidR="00743649" w:rsidRPr="00A43D28" w:rsidRDefault="00743649" w:rsidP="00ED7730">
            <w:pPr>
              <w:rPr>
                <w:b/>
                <w:szCs w:val="20"/>
              </w:rPr>
            </w:pPr>
          </w:p>
          <w:p w14:paraId="519A558D" w14:textId="5E0D2184" w:rsidR="00113B02" w:rsidRDefault="00113B02" w:rsidP="00ED7730">
            <w:pPr>
              <w:rPr>
                <w:b/>
              </w:rPr>
            </w:pPr>
            <w:r>
              <w:rPr>
                <w:b/>
              </w:rPr>
              <w:t>TERRY COLLEGE OF BUSINESS, UNIVERSITY OF GEORGIA</w:t>
            </w:r>
          </w:p>
          <w:p w14:paraId="28D0D518" w14:textId="66A6F488" w:rsidR="00113B02" w:rsidRDefault="00113B02" w:rsidP="00ED7730">
            <w:pPr>
              <w:rPr>
                <w:b/>
              </w:rPr>
            </w:pPr>
            <w:r w:rsidRPr="00B45022">
              <w:rPr>
                <w:b/>
              </w:rPr>
              <w:t>Doctoral Candidate, PhD in Business Administration – Real Estate</w:t>
            </w:r>
          </w:p>
          <w:p w14:paraId="2B5906F9" w14:textId="77777777" w:rsidR="00B45022" w:rsidRPr="00B45022" w:rsidRDefault="00B45022" w:rsidP="00ED7730">
            <w:pPr>
              <w:rPr>
                <w:b/>
                <w:sz w:val="8"/>
                <w:szCs w:val="8"/>
              </w:rPr>
            </w:pPr>
          </w:p>
          <w:p w14:paraId="75F99987" w14:textId="7E0FC589" w:rsidR="00B809C0" w:rsidRDefault="00B809C0" w:rsidP="00113B02">
            <w:pPr>
              <w:pStyle w:val="detailswbullets1"/>
              <w:ind w:hanging="370"/>
            </w:pPr>
            <w:r w:rsidRPr="00B809C0">
              <w:rPr>
                <w:b/>
                <w:i/>
              </w:rPr>
              <w:t>Research Interest</w:t>
            </w:r>
            <w:r w:rsidR="003A176F">
              <w:rPr>
                <w:b/>
                <w:i/>
              </w:rPr>
              <w:t>s</w:t>
            </w:r>
            <w:r>
              <w:t xml:space="preserve"> – Real Estate Economics, Urban Economics, Housing Finance, Commercial Real Estate Finance</w:t>
            </w:r>
            <w:r w:rsidR="0007162D">
              <w:t>, House and Commercial Price Indices</w:t>
            </w:r>
          </w:p>
          <w:p w14:paraId="6AF329AD" w14:textId="04A1A6F0" w:rsidR="00A43D28" w:rsidRDefault="00A43D28" w:rsidP="00113B02">
            <w:pPr>
              <w:pStyle w:val="detailswbullets1"/>
              <w:ind w:hanging="370"/>
            </w:pPr>
            <w:r>
              <w:rPr>
                <w:b/>
                <w:i/>
              </w:rPr>
              <w:t>Lecturer</w:t>
            </w:r>
            <w:r>
              <w:t xml:space="preserve"> – Real Estate </w:t>
            </w:r>
            <w:r w:rsidR="0007162D">
              <w:t>Principles</w:t>
            </w:r>
            <w:r>
              <w:t xml:space="preserve"> (REAL4000), </w:t>
            </w:r>
            <w:r w:rsidR="0007162D">
              <w:t>Spring 2016, Fall 2016</w:t>
            </w:r>
            <w:r w:rsidR="00B00DFC">
              <w:t>, Fall 2017</w:t>
            </w:r>
            <w:r w:rsidR="00E101B8">
              <w:t xml:space="preserve"> </w:t>
            </w:r>
          </w:p>
          <w:p w14:paraId="1CF42A72" w14:textId="17811D0A" w:rsidR="00113B02" w:rsidRDefault="00113B02" w:rsidP="00113B02">
            <w:pPr>
              <w:pStyle w:val="detailswbullets1"/>
              <w:ind w:hanging="370"/>
            </w:pPr>
            <w:r w:rsidRPr="00B809C0">
              <w:rPr>
                <w:b/>
                <w:i/>
              </w:rPr>
              <w:t>Research Assistant</w:t>
            </w:r>
            <w:r w:rsidR="00B809C0">
              <w:rPr>
                <w:b/>
                <w:i/>
              </w:rPr>
              <w:t>/Teaching Assistant</w:t>
            </w:r>
            <w:r w:rsidR="006D3F41">
              <w:t xml:space="preserve"> – Terry College of Business</w:t>
            </w:r>
            <w:r w:rsidR="00571A13">
              <w:t xml:space="preserve"> (2013 – 2017)</w:t>
            </w:r>
          </w:p>
          <w:p w14:paraId="635FA16D" w14:textId="7FE32C85" w:rsidR="00113B02" w:rsidRPr="00113B02" w:rsidRDefault="00113B02" w:rsidP="00113B02">
            <w:pPr>
              <w:pStyle w:val="detailswbullets1"/>
              <w:ind w:hanging="370"/>
            </w:pPr>
            <w:r w:rsidRPr="00B809C0">
              <w:rPr>
                <w:b/>
                <w:i/>
              </w:rPr>
              <w:t xml:space="preserve">Student Athlete </w:t>
            </w:r>
            <w:r w:rsidR="006D3F41" w:rsidRPr="00B809C0">
              <w:rPr>
                <w:b/>
                <w:i/>
              </w:rPr>
              <w:t xml:space="preserve">Academic </w:t>
            </w:r>
            <w:r w:rsidRPr="00B809C0">
              <w:rPr>
                <w:b/>
                <w:i/>
              </w:rPr>
              <w:t>Mentor</w:t>
            </w:r>
            <w:r w:rsidR="00B809C0" w:rsidRPr="00B809C0">
              <w:rPr>
                <w:b/>
                <w:i/>
              </w:rPr>
              <w:t>/Tutor</w:t>
            </w:r>
            <w:r w:rsidR="006D3F41">
              <w:t xml:space="preserve"> - University of Georgia Athletics</w:t>
            </w:r>
            <w:r w:rsidR="00571A13">
              <w:t xml:space="preserve"> (2013 – 2015)</w:t>
            </w:r>
          </w:p>
          <w:p w14:paraId="51AA85EE" w14:textId="77777777" w:rsidR="00113B02" w:rsidRDefault="00113B02" w:rsidP="00ED7730">
            <w:pPr>
              <w:rPr>
                <w:b/>
              </w:rPr>
            </w:pPr>
          </w:p>
          <w:p w14:paraId="0CED9961" w14:textId="77777777" w:rsidR="00743649" w:rsidRPr="00ED7730" w:rsidRDefault="00743649" w:rsidP="00ED7730">
            <w:pPr>
              <w:rPr>
                <w:b/>
              </w:rPr>
            </w:pPr>
            <w:r w:rsidRPr="00ED7730">
              <w:rPr>
                <w:b/>
              </w:rPr>
              <w:t xml:space="preserve">THE </w:t>
            </w:r>
            <w:r w:rsidRPr="00BC1846">
              <w:rPr>
                <w:b/>
                <w:szCs w:val="20"/>
              </w:rPr>
              <w:t>WHARTON SCHOOL</w:t>
            </w:r>
            <w:r w:rsidRPr="00ED7730">
              <w:rPr>
                <w:b/>
              </w:rPr>
              <w:t>, UNIVERSITY OF PENNSYLVANIA</w:t>
            </w:r>
          </w:p>
          <w:p w14:paraId="116D3E26" w14:textId="77777777" w:rsidR="00743649" w:rsidRDefault="00743649" w:rsidP="000A538D">
            <w:pPr>
              <w:rPr>
                <w:b/>
              </w:rPr>
            </w:pPr>
            <w:r w:rsidRPr="00B45022">
              <w:rPr>
                <w:b/>
              </w:rPr>
              <w:t>Master of Business Administration; Majors in Real Estate and Finance</w:t>
            </w:r>
          </w:p>
          <w:p w14:paraId="1221CBF3" w14:textId="7EFCFB6B" w:rsidR="00B45022" w:rsidRPr="00B45022" w:rsidRDefault="00B45022" w:rsidP="000A538D">
            <w:pPr>
              <w:rPr>
                <w:b/>
                <w:sz w:val="8"/>
                <w:szCs w:val="8"/>
              </w:rPr>
            </w:pPr>
          </w:p>
        </w:tc>
        <w:tc>
          <w:tcPr>
            <w:tcW w:w="1718" w:type="dxa"/>
          </w:tcPr>
          <w:p w14:paraId="3599D51D" w14:textId="77777777" w:rsidR="00743649" w:rsidRPr="00730650" w:rsidRDefault="00743649" w:rsidP="00ED7730">
            <w:pPr>
              <w:jc w:val="right"/>
              <w:rPr>
                <w:sz w:val="16"/>
                <w:szCs w:val="16"/>
              </w:rPr>
            </w:pPr>
          </w:p>
          <w:p w14:paraId="6E8BCF82" w14:textId="38CBB772" w:rsidR="00113B02" w:rsidRDefault="00113B02" w:rsidP="00ED7730">
            <w:pPr>
              <w:jc w:val="right"/>
              <w:rPr>
                <w:b/>
              </w:rPr>
            </w:pPr>
            <w:r>
              <w:rPr>
                <w:b/>
              </w:rPr>
              <w:t>Athens, GA</w:t>
            </w:r>
          </w:p>
          <w:p w14:paraId="04A4AD9C" w14:textId="1C1EF6EA" w:rsidR="00113B02" w:rsidRDefault="00113B02" w:rsidP="00ED7730">
            <w:pPr>
              <w:jc w:val="right"/>
              <w:rPr>
                <w:b/>
              </w:rPr>
            </w:pPr>
            <w:r>
              <w:rPr>
                <w:b/>
              </w:rPr>
              <w:t xml:space="preserve">2013 – </w:t>
            </w:r>
            <w:r w:rsidR="00A43D28">
              <w:rPr>
                <w:b/>
              </w:rPr>
              <w:t>Present</w:t>
            </w:r>
          </w:p>
          <w:p w14:paraId="3CA4E50E" w14:textId="77777777" w:rsidR="00113B02" w:rsidRDefault="00113B02" w:rsidP="00ED7730">
            <w:pPr>
              <w:jc w:val="right"/>
              <w:rPr>
                <w:b/>
              </w:rPr>
            </w:pPr>
          </w:p>
          <w:p w14:paraId="5A2BF4EA" w14:textId="77777777" w:rsidR="00113B02" w:rsidRDefault="00113B02" w:rsidP="00ED7730">
            <w:pPr>
              <w:jc w:val="right"/>
              <w:rPr>
                <w:b/>
              </w:rPr>
            </w:pPr>
          </w:p>
          <w:p w14:paraId="5A08361C" w14:textId="77777777" w:rsidR="00B809C0" w:rsidRDefault="00B809C0" w:rsidP="00ED7730">
            <w:pPr>
              <w:jc w:val="right"/>
              <w:rPr>
                <w:b/>
              </w:rPr>
            </w:pPr>
          </w:p>
          <w:p w14:paraId="0810A8BE" w14:textId="77777777" w:rsidR="00B809C0" w:rsidRDefault="00B809C0" w:rsidP="00ED7730">
            <w:pPr>
              <w:jc w:val="right"/>
              <w:rPr>
                <w:b/>
              </w:rPr>
            </w:pPr>
          </w:p>
          <w:p w14:paraId="022628F7" w14:textId="77777777" w:rsidR="00B809C0" w:rsidRDefault="00B809C0" w:rsidP="00ED7730">
            <w:pPr>
              <w:jc w:val="right"/>
              <w:rPr>
                <w:b/>
              </w:rPr>
            </w:pPr>
          </w:p>
          <w:p w14:paraId="2977C7CA" w14:textId="77777777" w:rsidR="000A63ED" w:rsidRDefault="000A63ED" w:rsidP="00B809C0">
            <w:pPr>
              <w:jc w:val="center"/>
              <w:rPr>
                <w:b/>
              </w:rPr>
            </w:pPr>
          </w:p>
          <w:p w14:paraId="733862E0" w14:textId="77777777" w:rsidR="000A63ED" w:rsidRDefault="000A63ED" w:rsidP="00B809C0">
            <w:pPr>
              <w:jc w:val="center"/>
              <w:rPr>
                <w:b/>
              </w:rPr>
            </w:pPr>
          </w:p>
          <w:p w14:paraId="699176F9" w14:textId="77777777" w:rsidR="00743649" w:rsidRPr="00ED7730" w:rsidRDefault="00743649" w:rsidP="00B809C0">
            <w:pPr>
              <w:jc w:val="center"/>
              <w:rPr>
                <w:b/>
              </w:rPr>
            </w:pPr>
            <w:r w:rsidRPr="00ED7730">
              <w:rPr>
                <w:b/>
              </w:rPr>
              <w:t>Philadelphia, PA</w:t>
            </w:r>
          </w:p>
          <w:p w14:paraId="0C8E2C91" w14:textId="77777777" w:rsidR="00743649" w:rsidRPr="00ED7730" w:rsidRDefault="00743649" w:rsidP="00DE2AD4">
            <w:pPr>
              <w:jc w:val="right"/>
              <w:rPr>
                <w:b/>
              </w:rPr>
            </w:pPr>
            <w:r>
              <w:rPr>
                <w:b/>
              </w:rPr>
              <w:t>2008 – 2010</w:t>
            </w:r>
          </w:p>
        </w:tc>
      </w:tr>
      <w:tr w:rsidR="00743649" w14:paraId="1BEFF215" w14:textId="77777777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374D5FA1" w14:textId="77777777" w:rsidR="00743649" w:rsidRDefault="00743649" w:rsidP="006F3E09">
            <w:pPr>
              <w:pStyle w:val="detailswbullets1"/>
              <w:ind w:hanging="370"/>
            </w:pPr>
            <w:r>
              <w:t>Awarded Joseph Wharton</w:t>
            </w:r>
            <w:r w:rsidR="001C03AA">
              <w:t xml:space="preserve"> Fellowship for scholastic and </w:t>
            </w:r>
            <w:r>
              <w:t xml:space="preserve">professional achievement, community involvement, and leadership </w:t>
            </w:r>
          </w:p>
          <w:p w14:paraId="2E5A673A" w14:textId="77777777" w:rsidR="005527A9" w:rsidRPr="00E6113D" w:rsidRDefault="005527A9" w:rsidP="005527A9">
            <w:pPr>
              <w:pStyle w:val="detailswbullets1"/>
              <w:numPr>
                <w:ilvl w:val="0"/>
                <w:numId w:val="1"/>
              </w:numPr>
              <w:ind w:hanging="370"/>
              <w:rPr>
                <w:b/>
                <w:bCs/>
              </w:rPr>
            </w:pPr>
            <w:r>
              <w:t>Member of Wharton’s Real Estate Club, PE &amp; Venture Capital Club, and African American MBA Association (AAMBAA)</w:t>
            </w:r>
          </w:p>
          <w:p w14:paraId="5D36D756" w14:textId="77777777" w:rsidR="00743649" w:rsidRDefault="00743649" w:rsidP="00983AC3">
            <w:pPr>
              <w:pStyle w:val="detailswbullets1"/>
              <w:ind w:hanging="370"/>
              <w:rPr>
                <w:b/>
                <w:bCs/>
              </w:rPr>
            </w:pPr>
            <w:r>
              <w:t xml:space="preserve">Led NYC Real Estate Investment Career Trek; Participant in South America and India Global Immersion Programs </w:t>
            </w:r>
          </w:p>
        </w:tc>
      </w:tr>
      <w:tr w:rsidR="00743649" w:rsidRPr="00ED7730" w14:paraId="515CD664" w14:textId="77777777">
        <w:trPr>
          <w:cantSplit/>
          <w:trHeight w:val="20"/>
          <w:jc w:val="center"/>
        </w:trPr>
        <w:tc>
          <w:tcPr>
            <w:tcW w:w="8861" w:type="dxa"/>
          </w:tcPr>
          <w:p w14:paraId="5F26E26C" w14:textId="77777777" w:rsidR="00743649" w:rsidRPr="00A43D28" w:rsidRDefault="00743649" w:rsidP="00ED7730">
            <w:pPr>
              <w:rPr>
                <w:b/>
                <w:szCs w:val="20"/>
              </w:rPr>
            </w:pPr>
          </w:p>
          <w:p w14:paraId="71C93E6B" w14:textId="77777777" w:rsidR="00743649" w:rsidRPr="00BC1846" w:rsidRDefault="00743649" w:rsidP="00ED773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FLORIDA STATE UNIVERSITY, COLLEGE OF BUSINESS</w:t>
            </w:r>
          </w:p>
          <w:p w14:paraId="26F5FA6B" w14:textId="77777777" w:rsidR="00743649" w:rsidRDefault="00743649" w:rsidP="006F231A">
            <w:pPr>
              <w:rPr>
                <w:b/>
              </w:rPr>
            </w:pPr>
            <w:r w:rsidRPr="00B45022">
              <w:rPr>
                <w:b/>
              </w:rPr>
              <w:t>Bachelor of Science; Majors in Finance and Accounting</w:t>
            </w:r>
          </w:p>
          <w:p w14:paraId="506C925F" w14:textId="77777777" w:rsidR="00B45022" w:rsidRPr="00B45022" w:rsidRDefault="00B45022" w:rsidP="006F231A">
            <w:pPr>
              <w:rPr>
                <w:b/>
                <w:sz w:val="8"/>
                <w:szCs w:val="8"/>
              </w:rPr>
            </w:pPr>
          </w:p>
        </w:tc>
        <w:tc>
          <w:tcPr>
            <w:tcW w:w="1718" w:type="dxa"/>
          </w:tcPr>
          <w:p w14:paraId="703817F5" w14:textId="77777777" w:rsidR="00743649" w:rsidRPr="00F5623B" w:rsidRDefault="00743649" w:rsidP="00C77759">
            <w:pPr>
              <w:jc w:val="right"/>
              <w:rPr>
                <w:b/>
                <w:sz w:val="16"/>
                <w:szCs w:val="16"/>
              </w:rPr>
            </w:pPr>
          </w:p>
          <w:p w14:paraId="32FBFCDA" w14:textId="77777777" w:rsidR="00743649" w:rsidRPr="00F65C4B" w:rsidRDefault="00B50C0D" w:rsidP="00C77759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743649">
              <w:rPr>
                <w:b/>
              </w:rPr>
              <w:t>Tallahassee</w:t>
            </w:r>
            <w:r w:rsidR="00743649" w:rsidRPr="00F65C4B">
              <w:rPr>
                <w:b/>
              </w:rPr>
              <w:t>,</w:t>
            </w:r>
            <w:r w:rsidR="00743649">
              <w:rPr>
                <w:b/>
              </w:rPr>
              <w:t xml:space="preserve"> FL</w:t>
            </w:r>
          </w:p>
          <w:p w14:paraId="082011F0" w14:textId="77777777" w:rsidR="00743649" w:rsidRPr="00ED7730" w:rsidRDefault="00743649" w:rsidP="00ED7730">
            <w:pPr>
              <w:jc w:val="right"/>
              <w:rPr>
                <w:b/>
              </w:rPr>
            </w:pPr>
            <w:r>
              <w:rPr>
                <w:b/>
              </w:rPr>
              <w:t>2000 – 2004</w:t>
            </w:r>
          </w:p>
        </w:tc>
      </w:tr>
      <w:tr w:rsidR="00743649" w14:paraId="31777937" w14:textId="77777777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719988A0" w14:textId="77777777" w:rsidR="005527A9" w:rsidRDefault="00743649" w:rsidP="005527A9">
            <w:pPr>
              <w:pStyle w:val="detailswbullets1"/>
              <w:numPr>
                <w:ilvl w:val="0"/>
                <w:numId w:val="1"/>
              </w:numPr>
              <w:ind w:hanging="370"/>
            </w:pPr>
            <w:r w:rsidRPr="00B45022">
              <w:rPr>
                <w:b/>
                <w:i/>
              </w:rPr>
              <w:t>NCAA Division 1 Varsity Basketball (ACC) – Full Scho</w:t>
            </w:r>
            <w:r w:rsidR="001C03AA" w:rsidRPr="00B45022">
              <w:rPr>
                <w:b/>
                <w:i/>
              </w:rPr>
              <w:t xml:space="preserve">larship; Two-time recipient of </w:t>
            </w:r>
            <w:r w:rsidRPr="00B45022">
              <w:rPr>
                <w:b/>
                <w:i/>
              </w:rPr>
              <w:t xml:space="preserve">Golden Torch Award for Highest </w:t>
            </w:r>
            <w:r w:rsidR="005527A9" w:rsidRPr="00B45022">
              <w:rPr>
                <w:b/>
                <w:i/>
              </w:rPr>
              <w:t xml:space="preserve">GPA (4.0) </w:t>
            </w:r>
            <w:r w:rsidR="00467761" w:rsidRPr="00B45022">
              <w:rPr>
                <w:b/>
                <w:i/>
              </w:rPr>
              <w:t>for Student Athletes;</w:t>
            </w:r>
            <w:r w:rsidR="00467761">
              <w:t xml:space="preserve"> </w:t>
            </w:r>
            <w:r w:rsidR="005527A9">
              <w:t>Florida State Athletic Community Service Award; Athletic Academic Support Advisor</w:t>
            </w:r>
          </w:p>
          <w:p w14:paraId="2A1B5B36" w14:textId="77777777" w:rsidR="005527A9" w:rsidRDefault="005527A9" w:rsidP="005527A9">
            <w:pPr>
              <w:pStyle w:val="detailswbullets1"/>
              <w:numPr>
                <w:ilvl w:val="0"/>
                <w:numId w:val="1"/>
              </w:numPr>
              <w:ind w:hanging="370"/>
            </w:pPr>
            <w:r>
              <w:t xml:space="preserve">GPA: 3.7/4.0; Dean’s List; Phi Kappa Phi; Phi </w:t>
            </w:r>
            <w:proofErr w:type="spellStart"/>
            <w:r>
              <w:t>Eta</w:t>
            </w:r>
            <w:proofErr w:type="spellEnd"/>
            <w:r>
              <w:t xml:space="preserve"> Sigma; </w:t>
            </w:r>
            <w:r w:rsidRPr="00070FB6">
              <w:t>USA</w:t>
            </w:r>
            <w:r>
              <w:t xml:space="preserve">A </w:t>
            </w:r>
            <w:r w:rsidRPr="00070FB6">
              <w:t>All–American Scholar</w:t>
            </w:r>
            <w:r>
              <w:t>; ACC Honor Roll</w:t>
            </w:r>
          </w:p>
          <w:p w14:paraId="7686EE78" w14:textId="7892BABB" w:rsidR="00743649" w:rsidRPr="005527A9" w:rsidRDefault="00743649" w:rsidP="005527A9">
            <w:pPr>
              <w:pStyle w:val="detailswbullets1"/>
              <w:numPr>
                <w:ilvl w:val="0"/>
                <w:numId w:val="0"/>
              </w:numPr>
              <w:ind w:left="360"/>
            </w:pPr>
          </w:p>
        </w:tc>
      </w:tr>
      <w:tr w:rsidR="00743649" w:rsidRPr="00E77683" w14:paraId="1C9DAC71" w14:textId="77777777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4F720421" w14:textId="77777777" w:rsidR="00743649" w:rsidRDefault="00743649" w:rsidP="00E77683">
            <w:pPr>
              <w:jc w:val="center"/>
              <w:rPr>
                <w:b/>
                <w:sz w:val="22"/>
              </w:rPr>
            </w:pPr>
            <w:r w:rsidRPr="00E77683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XPERIENCE</w:t>
            </w:r>
          </w:p>
          <w:p w14:paraId="641534F6" w14:textId="77777777" w:rsidR="00743649" w:rsidRPr="00A43D28" w:rsidRDefault="00743649" w:rsidP="00E77683">
            <w:pPr>
              <w:jc w:val="center"/>
              <w:rPr>
                <w:b/>
                <w:szCs w:val="20"/>
              </w:rPr>
            </w:pPr>
          </w:p>
        </w:tc>
      </w:tr>
    </w:tbl>
    <w:p w14:paraId="0CCFE244" w14:textId="301293DE" w:rsidR="00444417" w:rsidRPr="00BC1846" w:rsidRDefault="00444417" w:rsidP="00444417">
      <w:pPr>
        <w:rPr>
          <w:b/>
          <w:szCs w:val="20"/>
        </w:rPr>
      </w:pPr>
      <w:r>
        <w:rPr>
          <w:b/>
          <w:szCs w:val="20"/>
        </w:rPr>
        <w:t>SYLVAN ROAD CAPITAL</w:t>
      </w:r>
      <w:r w:rsidRPr="00F5623B"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</w:t>
      </w:r>
      <w:r>
        <w:rPr>
          <w:b/>
          <w:szCs w:val="20"/>
        </w:rPr>
        <w:tab/>
        <w:t xml:space="preserve">           Atlanta, Ga</w:t>
      </w:r>
    </w:p>
    <w:p w14:paraId="1E2803E0" w14:textId="5FDCB025" w:rsidR="00444417" w:rsidRPr="00CE6013" w:rsidRDefault="00444417" w:rsidP="00444417">
      <w:pPr>
        <w:rPr>
          <w:b/>
        </w:rPr>
      </w:pPr>
      <w:r>
        <w:rPr>
          <w:b/>
        </w:rPr>
        <w:t>Director, Acquisitions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/>
        </w:rPr>
        <w:tab/>
        <w:t xml:space="preserve">           2020 – 2020 </w:t>
      </w:r>
    </w:p>
    <w:p w14:paraId="0029728F" w14:textId="77777777" w:rsidR="00444417" w:rsidRPr="00341D35" w:rsidRDefault="00444417" w:rsidP="00444417">
      <w:pPr>
        <w:rPr>
          <w:sz w:val="10"/>
          <w:szCs w:val="10"/>
        </w:rPr>
      </w:pPr>
    </w:p>
    <w:p w14:paraId="02C4B4BC" w14:textId="74328558" w:rsidR="00444417" w:rsidRPr="00545FDA" w:rsidRDefault="00444417" w:rsidP="00545FDA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 xml:space="preserve">Managed </w:t>
      </w:r>
      <w:r w:rsidR="00147B7B">
        <w:rPr>
          <w:szCs w:val="20"/>
        </w:rPr>
        <w:t>a</w:t>
      </w:r>
      <w:r>
        <w:rPr>
          <w:szCs w:val="20"/>
        </w:rPr>
        <w:t>cquisitions team that closed an average of 75 houses per month</w:t>
      </w:r>
      <w:r w:rsidR="00545FDA">
        <w:rPr>
          <w:szCs w:val="20"/>
        </w:rPr>
        <w:t xml:space="preserve">.  </w:t>
      </w:r>
      <w:r w:rsidRPr="00545FDA">
        <w:rPr>
          <w:szCs w:val="20"/>
        </w:rPr>
        <w:t>Led acquisition team to a record high of 3,</w:t>
      </w:r>
      <w:r w:rsidR="00FD68DB">
        <w:rPr>
          <w:szCs w:val="20"/>
        </w:rPr>
        <w:t>3</w:t>
      </w:r>
      <w:r w:rsidRPr="00545FDA">
        <w:rPr>
          <w:szCs w:val="20"/>
        </w:rPr>
        <w:t>00 offers</w:t>
      </w:r>
      <w:r w:rsidR="003363B1">
        <w:rPr>
          <w:szCs w:val="20"/>
        </w:rPr>
        <w:t xml:space="preserve"> in one month.</w:t>
      </w:r>
    </w:p>
    <w:p w14:paraId="23E2B490" w14:textId="39C0D477" w:rsidR="00444417" w:rsidRDefault="00444417" w:rsidP="00444417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Co-developed and solely managed mass underwriting process of MLS’s for Atlanta, Tampa, Orlando, Birmingham, Charlotte, Raleigh, and Dallas</w:t>
      </w:r>
    </w:p>
    <w:p w14:paraId="35A3AD3A" w14:textId="41588F91" w:rsidR="00444417" w:rsidRDefault="00444417" w:rsidP="00444417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Underwrote off market bulk portfolio deals</w:t>
      </w:r>
      <w:r w:rsidR="005B7C17">
        <w:rPr>
          <w:szCs w:val="20"/>
        </w:rPr>
        <w:t xml:space="preserve"> of </w:t>
      </w:r>
      <w:r w:rsidR="00626D96">
        <w:rPr>
          <w:szCs w:val="20"/>
        </w:rPr>
        <w:t>8</w:t>
      </w:r>
      <w:r w:rsidR="005B7C17">
        <w:rPr>
          <w:szCs w:val="20"/>
        </w:rPr>
        <w:t xml:space="preserve"> portfolios totaling </w:t>
      </w:r>
      <w:r w:rsidR="00626D96">
        <w:rPr>
          <w:szCs w:val="20"/>
        </w:rPr>
        <w:t>264</w:t>
      </w:r>
      <w:r w:rsidR="005B7C17">
        <w:rPr>
          <w:szCs w:val="20"/>
        </w:rPr>
        <w:t xml:space="preserve"> assets</w:t>
      </w:r>
    </w:p>
    <w:p w14:paraId="5DF6F04C" w14:textId="1F2699CE" w:rsidR="00545FDA" w:rsidRDefault="00545FDA" w:rsidP="00545FDA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 xml:space="preserve">Reported and presented weekly to </w:t>
      </w:r>
      <w:r w:rsidR="00333670">
        <w:rPr>
          <w:szCs w:val="20"/>
        </w:rPr>
        <w:t>s</w:t>
      </w:r>
      <w:r>
        <w:rPr>
          <w:szCs w:val="20"/>
        </w:rPr>
        <w:t>enior management key company performance indicators such as number of offers, conversion rates, assets in due diligence, assets awaiting closing, and assets closed</w:t>
      </w:r>
    </w:p>
    <w:p w14:paraId="570D407B" w14:textId="3270A19D" w:rsidR="005B7C17" w:rsidRDefault="005B7C17" w:rsidP="00444417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Developed and monitored models that tracked market performance as well as each acquisition analyst’s performance</w:t>
      </w:r>
    </w:p>
    <w:p w14:paraId="3F6C19B7" w14:textId="48257857" w:rsidR="005B7C17" w:rsidRPr="00427AD6" w:rsidRDefault="005B7C17" w:rsidP="00444417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 xml:space="preserve">Helped develop and standardize rent comparable analysis for Acquisitions and Asset Management </w:t>
      </w:r>
    </w:p>
    <w:p w14:paraId="3253C2CF" w14:textId="77777777" w:rsidR="00444417" w:rsidRDefault="00444417" w:rsidP="00D81ED0">
      <w:pPr>
        <w:rPr>
          <w:b/>
          <w:szCs w:val="20"/>
        </w:rPr>
      </w:pPr>
    </w:p>
    <w:p w14:paraId="12276810" w14:textId="77777777" w:rsidR="00444417" w:rsidRDefault="00444417" w:rsidP="00D81ED0">
      <w:pPr>
        <w:rPr>
          <w:b/>
          <w:szCs w:val="20"/>
        </w:rPr>
      </w:pPr>
    </w:p>
    <w:p w14:paraId="4DFA846C" w14:textId="5265457B" w:rsidR="00D81ED0" w:rsidRPr="00BC1846" w:rsidRDefault="004E5CC3" w:rsidP="00D81ED0">
      <w:pPr>
        <w:rPr>
          <w:b/>
          <w:szCs w:val="20"/>
        </w:rPr>
      </w:pPr>
      <w:r>
        <w:rPr>
          <w:b/>
          <w:szCs w:val="20"/>
        </w:rPr>
        <w:t>BOS REAL ESTATE DEVELOPMENT</w:t>
      </w:r>
      <w:r w:rsidRPr="00F5623B"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New York, NY</w:t>
      </w:r>
    </w:p>
    <w:p w14:paraId="1EB70132" w14:textId="0E63FF4F" w:rsidR="00D81ED0" w:rsidRPr="00CE6013" w:rsidRDefault="00D81ED0" w:rsidP="00D81ED0">
      <w:pPr>
        <w:rPr>
          <w:b/>
        </w:rPr>
      </w:pPr>
      <w:r>
        <w:rPr>
          <w:b/>
        </w:rPr>
        <w:t xml:space="preserve">Senior </w:t>
      </w:r>
      <w:r w:rsidR="004E5CC3">
        <w:rPr>
          <w:b/>
        </w:rPr>
        <w:t>Associate</w:t>
      </w:r>
      <w:r>
        <w:rPr>
          <w:b/>
        </w:rPr>
        <w:t xml:space="preserve">, </w:t>
      </w:r>
      <w:r w:rsidR="004E5CC3">
        <w:rPr>
          <w:b/>
        </w:rPr>
        <w:t xml:space="preserve">Acquisitions and Development </w:t>
      </w:r>
      <w:r w:rsidR="004E5CC3" w:rsidRPr="006B7158">
        <w:rPr>
          <w:b/>
          <w:i/>
        </w:rPr>
        <w:t>(Consultant)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4E5CC3">
        <w:rPr>
          <w:b/>
        </w:rPr>
        <w:t>2012</w:t>
      </w:r>
      <w:r>
        <w:rPr>
          <w:b/>
        </w:rPr>
        <w:t xml:space="preserve"> – </w:t>
      </w:r>
      <w:r w:rsidR="001B2A31">
        <w:rPr>
          <w:b/>
        </w:rPr>
        <w:t>2016</w:t>
      </w:r>
      <w:r>
        <w:rPr>
          <w:b/>
        </w:rPr>
        <w:t xml:space="preserve"> </w:t>
      </w:r>
    </w:p>
    <w:p w14:paraId="6DB5AC75" w14:textId="77777777" w:rsidR="00D81ED0" w:rsidRPr="00341D35" w:rsidRDefault="00D81ED0" w:rsidP="00D81ED0">
      <w:pPr>
        <w:rPr>
          <w:sz w:val="10"/>
          <w:szCs w:val="10"/>
        </w:rPr>
      </w:pPr>
    </w:p>
    <w:p w14:paraId="028A0C0C" w14:textId="712EBC89" w:rsidR="00427AD6" w:rsidRPr="00427AD6" w:rsidRDefault="00427AD6" w:rsidP="00427AD6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Create</w:t>
      </w:r>
      <w:r w:rsidR="00152897">
        <w:rPr>
          <w:szCs w:val="20"/>
        </w:rPr>
        <w:t>d</w:t>
      </w:r>
      <w:r w:rsidR="00517ED8">
        <w:rPr>
          <w:szCs w:val="20"/>
        </w:rPr>
        <w:t xml:space="preserve"> financial models </w:t>
      </w:r>
      <w:r>
        <w:rPr>
          <w:szCs w:val="20"/>
        </w:rPr>
        <w:t xml:space="preserve">evaluating new opportunities </w:t>
      </w:r>
      <w:r w:rsidR="00517ED8">
        <w:rPr>
          <w:szCs w:val="20"/>
        </w:rPr>
        <w:t xml:space="preserve">for deals involving Multifamily Rental, Condos, Hotels, Retail, Schools, and Community Space.  </w:t>
      </w:r>
      <w:r w:rsidRPr="00427AD6">
        <w:rPr>
          <w:szCs w:val="20"/>
        </w:rPr>
        <w:t>Perform</w:t>
      </w:r>
      <w:r w:rsidR="00152897">
        <w:rPr>
          <w:szCs w:val="20"/>
        </w:rPr>
        <w:t>ed</w:t>
      </w:r>
      <w:r w:rsidRPr="00427AD6">
        <w:rPr>
          <w:szCs w:val="20"/>
        </w:rPr>
        <w:t xml:space="preserve"> extensive financial modeling, including scenario and sensitivity analysis, sources and uses, discounted cash flows, </w:t>
      </w:r>
      <w:r>
        <w:rPr>
          <w:szCs w:val="20"/>
        </w:rPr>
        <w:t xml:space="preserve">and </w:t>
      </w:r>
      <w:r w:rsidR="00A409B3">
        <w:rPr>
          <w:szCs w:val="20"/>
        </w:rPr>
        <w:t>multi-tiered waterfalls</w:t>
      </w:r>
    </w:p>
    <w:p w14:paraId="04D26E85" w14:textId="3D1403E7" w:rsidR="00517ED8" w:rsidRPr="00427AD6" w:rsidRDefault="00517ED8" w:rsidP="00D81ED0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 w:rsidRPr="00427AD6">
        <w:rPr>
          <w:szCs w:val="20"/>
        </w:rPr>
        <w:t xml:space="preserve">Analyzed 6 deals totaling more than $240MM in </w:t>
      </w:r>
      <w:r w:rsidR="006A2151" w:rsidRPr="00427AD6">
        <w:rPr>
          <w:szCs w:val="20"/>
        </w:rPr>
        <w:t>mostly New York Metro Area</w:t>
      </w:r>
      <w:r w:rsidR="00427AD6" w:rsidRPr="00427AD6">
        <w:rPr>
          <w:szCs w:val="20"/>
        </w:rPr>
        <w:t xml:space="preserve"> that involved </w:t>
      </w:r>
      <w:r w:rsidRPr="00427AD6">
        <w:rPr>
          <w:szCs w:val="20"/>
        </w:rPr>
        <w:t xml:space="preserve">Low Income Housing Tax Credits, New Market Tax </w:t>
      </w:r>
      <w:r w:rsidR="006A2151" w:rsidRPr="00427AD6">
        <w:rPr>
          <w:szCs w:val="20"/>
        </w:rPr>
        <w:t>Credit</w:t>
      </w:r>
      <w:r w:rsidR="00427AD6">
        <w:rPr>
          <w:szCs w:val="20"/>
        </w:rPr>
        <w:t>s</w:t>
      </w:r>
      <w:r w:rsidR="006A2151" w:rsidRPr="00427AD6">
        <w:rPr>
          <w:szCs w:val="20"/>
        </w:rPr>
        <w:t xml:space="preserve">, Historical Tax Credits, </w:t>
      </w:r>
      <w:r w:rsidRPr="00427AD6">
        <w:rPr>
          <w:szCs w:val="20"/>
        </w:rPr>
        <w:t>and tax abatements</w:t>
      </w:r>
      <w:r w:rsidR="006919D8" w:rsidRPr="00427AD6">
        <w:rPr>
          <w:szCs w:val="20"/>
        </w:rPr>
        <w:t xml:space="preserve"> </w:t>
      </w:r>
    </w:p>
    <w:p w14:paraId="15854020" w14:textId="74F900D3" w:rsidR="00D81ED0" w:rsidRPr="00F856F1" w:rsidRDefault="00427AD6" w:rsidP="00D81ED0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Research</w:t>
      </w:r>
      <w:r w:rsidR="00152897">
        <w:rPr>
          <w:szCs w:val="20"/>
        </w:rPr>
        <w:t>ed</w:t>
      </w:r>
      <w:r w:rsidRPr="00FF3B97">
        <w:rPr>
          <w:szCs w:val="20"/>
        </w:rPr>
        <w:t xml:space="preserve"> markets and submarkets</w:t>
      </w:r>
      <w:r>
        <w:rPr>
          <w:szCs w:val="20"/>
        </w:rPr>
        <w:t xml:space="preserve">.  </w:t>
      </w:r>
      <w:r w:rsidR="006A2151">
        <w:rPr>
          <w:szCs w:val="20"/>
        </w:rPr>
        <w:t>Scout</w:t>
      </w:r>
      <w:r w:rsidR="00152897">
        <w:rPr>
          <w:szCs w:val="20"/>
        </w:rPr>
        <w:t>ed</w:t>
      </w:r>
      <w:r w:rsidR="006A2151">
        <w:rPr>
          <w:szCs w:val="20"/>
        </w:rPr>
        <w:t xml:space="preserve"> deals </w:t>
      </w:r>
      <w:r>
        <w:rPr>
          <w:szCs w:val="20"/>
        </w:rPr>
        <w:t>in new markets and interfa</w:t>
      </w:r>
      <w:r w:rsidR="00A409B3">
        <w:rPr>
          <w:szCs w:val="20"/>
        </w:rPr>
        <w:t>ce with the brokerage community</w:t>
      </w:r>
    </w:p>
    <w:p w14:paraId="7C0FAC20" w14:textId="2CB9F501" w:rsidR="00FF3B97" w:rsidRDefault="00FF3B97" w:rsidP="00D81ED0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Prepare</w:t>
      </w:r>
      <w:r w:rsidR="00152897">
        <w:rPr>
          <w:szCs w:val="20"/>
        </w:rPr>
        <w:t>d</w:t>
      </w:r>
      <w:r w:rsidRPr="00FF3B97">
        <w:rPr>
          <w:szCs w:val="20"/>
        </w:rPr>
        <w:t xml:space="preserve"> presentations and investment memoranda.</w:t>
      </w:r>
      <w:r w:rsidR="00152897">
        <w:rPr>
          <w:szCs w:val="20"/>
        </w:rPr>
        <w:t xml:space="preserve">  Me</w:t>
      </w:r>
      <w:r w:rsidR="00427AD6">
        <w:rPr>
          <w:szCs w:val="20"/>
        </w:rPr>
        <w:t>t with potential investors, co-developers, and business partners</w:t>
      </w:r>
    </w:p>
    <w:p w14:paraId="0F3643F1" w14:textId="77777777" w:rsidR="00D81ED0" w:rsidRDefault="00D81ED0" w:rsidP="00F856F1">
      <w:pPr>
        <w:rPr>
          <w:b/>
          <w:szCs w:val="20"/>
        </w:rPr>
      </w:pPr>
    </w:p>
    <w:p w14:paraId="7541C1AA" w14:textId="77777777" w:rsidR="007036F4" w:rsidRDefault="007036F4" w:rsidP="00F856F1">
      <w:pPr>
        <w:rPr>
          <w:b/>
          <w:szCs w:val="20"/>
        </w:rPr>
      </w:pPr>
    </w:p>
    <w:p w14:paraId="477341CE" w14:textId="77777777" w:rsidR="007036F4" w:rsidRDefault="007036F4" w:rsidP="00F856F1">
      <w:pPr>
        <w:rPr>
          <w:b/>
          <w:szCs w:val="20"/>
        </w:rPr>
      </w:pPr>
    </w:p>
    <w:p w14:paraId="28E487BA" w14:textId="77777777" w:rsidR="007036F4" w:rsidRDefault="007036F4" w:rsidP="00F856F1">
      <w:pPr>
        <w:rPr>
          <w:b/>
          <w:szCs w:val="20"/>
        </w:rPr>
      </w:pPr>
    </w:p>
    <w:p w14:paraId="0BFEB54B" w14:textId="77777777" w:rsidR="007036F4" w:rsidRDefault="007036F4" w:rsidP="00F856F1">
      <w:pPr>
        <w:rPr>
          <w:b/>
          <w:szCs w:val="20"/>
        </w:rPr>
      </w:pPr>
    </w:p>
    <w:p w14:paraId="67ED342E" w14:textId="6237A696" w:rsidR="00F856F1" w:rsidRPr="00BC1846" w:rsidRDefault="00F856F1" w:rsidP="00F856F1">
      <w:pPr>
        <w:rPr>
          <w:b/>
          <w:szCs w:val="20"/>
        </w:rPr>
      </w:pPr>
      <w:r>
        <w:rPr>
          <w:b/>
          <w:szCs w:val="20"/>
        </w:rPr>
        <w:lastRenderedPageBreak/>
        <w:t>FREDDIE MAC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</w:t>
      </w:r>
      <w:r w:rsidR="00B50C0D">
        <w:rPr>
          <w:b/>
          <w:szCs w:val="20"/>
        </w:rPr>
        <w:t xml:space="preserve"> </w:t>
      </w:r>
      <w:r>
        <w:rPr>
          <w:b/>
          <w:szCs w:val="20"/>
        </w:rPr>
        <w:t xml:space="preserve"> </w:t>
      </w:r>
      <w:r w:rsidR="00B50C0D">
        <w:rPr>
          <w:b/>
          <w:szCs w:val="20"/>
        </w:rPr>
        <w:t>McL</w:t>
      </w:r>
      <w:r>
        <w:rPr>
          <w:b/>
          <w:szCs w:val="20"/>
        </w:rPr>
        <w:t>ean, VA</w:t>
      </w:r>
    </w:p>
    <w:p w14:paraId="11F7AD58" w14:textId="77777777" w:rsidR="00F856F1" w:rsidRPr="00CE6013" w:rsidRDefault="00F856F1" w:rsidP="00F856F1">
      <w:pPr>
        <w:rPr>
          <w:b/>
        </w:rPr>
      </w:pPr>
      <w:r>
        <w:rPr>
          <w:b/>
        </w:rPr>
        <w:t>Senior Underwriter, Capital Markets Execution - Multifamily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6B7CE6">
        <w:rPr>
          <w:b/>
        </w:rPr>
        <w:t xml:space="preserve">     </w:t>
      </w:r>
      <w:r>
        <w:rPr>
          <w:b/>
        </w:rPr>
        <w:t xml:space="preserve">2011 – </w:t>
      </w:r>
      <w:r w:rsidR="006B7CE6">
        <w:rPr>
          <w:b/>
        </w:rPr>
        <w:t>2012</w:t>
      </w:r>
      <w:r>
        <w:rPr>
          <w:b/>
        </w:rPr>
        <w:t xml:space="preserve"> </w:t>
      </w:r>
    </w:p>
    <w:p w14:paraId="65C1BA45" w14:textId="77777777" w:rsidR="00F856F1" w:rsidRPr="00341D35" w:rsidRDefault="00F856F1" w:rsidP="00F856F1">
      <w:pPr>
        <w:rPr>
          <w:sz w:val="10"/>
          <w:szCs w:val="10"/>
        </w:rPr>
      </w:pPr>
    </w:p>
    <w:p w14:paraId="5413D6D6" w14:textId="77777777" w:rsidR="005456FC" w:rsidRDefault="005456FC" w:rsidP="005456FC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 w:rsidRPr="00F856F1">
        <w:rPr>
          <w:szCs w:val="20"/>
        </w:rPr>
        <w:t>Led underwriting deal team</w:t>
      </w:r>
      <w:r>
        <w:rPr>
          <w:szCs w:val="20"/>
        </w:rPr>
        <w:t>s</w:t>
      </w:r>
      <w:r w:rsidRPr="00F856F1">
        <w:rPr>
          <w:szCs w:val="20"/>
        </w:rPr>
        <w:t xml:space="preserve"> </w:t>
      </w:r>
      <w:r>
        <w:rPr>
          <w:szCs w:val="20"/>
        </w:rPr>
        <w:t xml:space="preserve">for </w:t>
      </w:r>
      <w:r w:rsidR="002C4A8A">
        <w:rPr>
          <w:szCs w:val="20"/>
        </w:rPr>
        <w:t xml:space="preserve">a </w:t>
      </w:r>
      <w:r>
        <w:rPr>
          <w:szCs w:val="20"/>
        </w:rPr>
        <w:t xml:space="preserve">$1.3B </w:t>
      </w:r>
      <w:r w:rsidR="002C4A8A">
        <w:rPr>
          <w:szCs w:val="20"/>
        </w:rPr>
        <w:t xml:space="preserve">CMBS Deal </w:t>
      </w:r>
      <w:r>
        <w:rPr>
          <w:szCs w:val="20"/>
        </w:rPr>
        <w:t xml:space="preserve">and </w:t>
      </w:r>
      <w:r w:rsidR="002C4A8A">
        <w:rPr>
          <w:szCs w:val="20"/>
        </w:rPr>
        <w:t xml:space="preserve">a </w:t>
      </w:r>
      <w:r>
        <w:rPr>
          <w:szCs w:val="20"/>
        </w:rPr>
        <w:t xml:space="preserve">$1.2B </w:t>
      </w:r>
      <w:r w:rsidR="002C4A8A">
        <w:rPr>
          <w:szCs w:val="20"/>
        </w:rPr>
        <w:t>CBMS deal</w:t>
      </w:r>
      <w:r w:rsidRPr="00F856F1">
        <w:rPr>
          <w:szCs w:val="20"/>
        </w:rPr>
        <w:t xml:space="preserve"> that involved managing team</w:t>
      </w:r>
      <w:r>
        <w:rPr>
          <w:szCs w:val="20"/>
        </w:rPr>
        <w:t>s</w:t>
      </w:r>
      <w:r w:rsidRPr="00F856F1">
        <w:rPr>
          <w:szCs w:val="20"/>
        </w:rPr>
        <w:t xml:space="preserve"> that produced asse</w:t>
      </w:r>
      <w:r>
        <w:rPr>
          <w:szCs w:val="20"/>
        </w:rPr>
        <w:t>t summary reports and</w:t>
      </w:r>
      <w:r w:rsidRPr="00F856F1">
        <w:rPr>
          <w:szCs w:val="20"/>
        </w:rPr>
        <w:t xml:space="preserve"> financial updates</w:t>
      </w:r>
      <w:r>
        <w:rPr>
          <w:szCs w:val="20"/>
        </w:rPr>
        <w:t xml:space="preserve"> for all loans in the pools</w:t>
      </w:r>
      <w:r w:rsidRPr="00F856F1">
        <w:rPr>
          <w:szCs w:val="20"/>
        </w:rPr>
        <w:t xml:space="preserve">, defending </w:t>
      </w:r>
      <w:r>
        <w:rPr>
          <w:szCs w:val="20"/>
        </w:rPr>
        <w:t xml:space="preserve">Freddie Mac’s underwriting of </w:t>
      </w:r>
      <w:r w:rsidRPr="00F856F1">
        <w:rPr>
          <w:szCs w:val="20"/>
        </w:rPr>
        <w:t xml:space="preserve">loans on </w:t>
      </w:r>
      <w:r w:rsidR="002C4A8A">
        <w:rPr>
          <w:szCs w:val="20"/>
        </w:rPr>
        <w:t xml:space="preserve">rating </w:t>
      </w:r>
      <w:r w:rsidRPr="00F856F1">
        <w:rPr>
          <w:szCs w:val="20"/>
        </w:rPr>
        <w:t>agency calls, a</w:t>
      </w:r>
      <w:r>
        <w:rPr>
          <w:szCs w:val="20"/>
        </w:rPr>
        <w:t>nd answering investor questions about loans</w:t>
      </w:r>
    </w:p>
    <w:p w14:paraId="1825AD8E" w14:textId="4F91C417" w:rsidR="00F856F1" w:rsidRPr="00F856F1" w:rsidRDefault="00F856F1" w:rsidP="00F856F1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 w:rsidRPr="00F856F1">
        <w:rPr>
          <w:szCs w:val="20"/>
        </w:rPr>
        <w:t>Led Capital Markets Execution (CME) team that cover</w:t>
      </w:r>
      <w:r w:rsidR="00147B7B">
        <w:rPr>
          <w:szCs w:val="20"/>
        </w:rPr>
        <w:t>ed</w:t>
      </w:r>
      <w:r w:rsidRPr="00F856F1">
        <w:rPr>
          <w:szCs w:val="20"/>
        </w:rPr>
        <w:t xml:space="preserve"> CMBS underwriting for multifamily loans in the US Central Regio</w:t>
      </w:r>
      <w:r>
        <w:rPr>
          <w:szCs w:val="20"/>
        </w:rPr>
        <w:t>n and Target Affordable Housing</w:t>
      </w:r>
      <w:r w:rsidR="00FB28E1">
        <w:rPr>
          <w:szCs w:val="20"/>
        </w:rPr>
        <w:t>.  Garnered significant experience underwriting Student Housing in Central Region</w:t>
      </w:r>
    </w:p>
    <w:p w14:paraId="787FE3F1" w14:textId="77777777" w:rsidR="005456FC" w:rsidRPr="00F856F1" w:rsidRDefault="005456FC" w:rsidP="005456FC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Analyzed over $8</w:t>
      </w:r>
      <w:r w:rsidRPr="00F856F1">
        <w:rPr>
          <w:szCs w:val="20"/>
        </w:rPr>
        <w:t xml:space="preserve">40MM in multifamily loans for approval </w:t>
      </w:r>
      <w:r>
        <w:rPr>
          <w:szCs w:val="20"/>
        </w:rPr>
        <w:t>and over $7</w:t>
      </w:r>
      <w:r w:rsidRPr="00F856F1">
        <w:rPr>
          <w:szCs w:val="20"/>
        </w:rPr>
        <w:t>20MM in multifamily loan q</w:t>
      </w:r>
      <w:r>
        <w:rPr>
          <w:szCs w:val="20"/>
        </w:rPr>
        <w:t>uotes</w:t>
      </w:r>
    </w:p>
    <w:p w14:paraId="5D58A011" w14:textId="77777777" w:rsidR="00F856F1" w:rsidRPr="00F856F1" w:rsidRDefault="00F856F1" w:rsidP="00F856F1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 w:rsidRPr="00F856F1">
        <w:rPr>
          <w:szCs w:val="20"/>
        </w:rPr>
        <w:t>Managed and mentored analysts.  Reviewed, edited and critiqued analysts’ asset summary re</w:t>
      </w:r>
      <w:r>
        <w:rPr>
          <w:szCs w:val="20"/>
        </w:rPr>
        <w:t>ports and loan quote approvals</w:t>
      </w:r>
    </w:p>
    <w:p w14:paraId="2C018E69" w14:textId="77777777" w:rsidR="00F856F1" w:rsidRPr="00F856F1" w:rsidRDefault="00F856F1" w:rsidP="00F856F1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 w:rsidRPr="00F856F1">
        <w:rPr>
          <w:szCs w:val="20"/>
        </w:rPr>
        <w:t xml:space="preserve">Produced and reviewed asset summary reports for </w:t>
      </w:r>
      <w:r w:rsidR="006933DB">
        <w:rPr>
          <w:szCs w:val="20"/>
        </w:rPr>
        <w:t xml:space="preserve">multifamily </w:t>
      </w:r>
      <w:r w:rsidRPr="00F856F1">
        <w:rPr>
          <w:szCs w:val="20"/>
        </w:rPr>
        <w:t xml:space="preserve">loans that </w:t>
      </w:r>
      <w:r w:rsidR="002C4A8A">
        <w:rPr>
          <w:szCs w:val="20"/>
        </w:rPr>
        <w:t>were</w:t>
      </w:r>
      <w:r w:rsidRPr="00F856F1">
        <w:rPr>
          <w:szCs w:val="20"/>
        </w:rPr>
        <w:t xml:space="preserve"> securitized</w:t>
      </w:r>
      <w:r w:rsidR="00FB28E1">
        <w:rPr>
          <w:szCs w:val="20"/>
        </w:rPr>
        <w:t xml:space="preserve"> into </w:t>
      </w:r>
      <w:r w:rsidR="002C4A8A">
        <w:rPr>
          <w:szCs w:val="20"/>
        </w:rPr>
        <w:t xml:space="preserve">6 CMBS </w:t>
      </w:r>
      <w:r w:rsidR="00FB28E1">
        <w:rPr>
          <w:szCs w:val="20"/>
        </w:rPr>
        <w:t>deals</w:t>
      </w:r>
      <w:r w:rsidR="002C4A8A">
        <w:rPr>
          <w:szCs w:val="20"/>
        </w:rPr>
        <w:t xml:space="preserve"> totaling $7.2B</w:t>
      </w:r>
    </w:p>
    <w:p w14:paraId="52C10AA4" w14:textId="77777777" w:rsidR="005456FC" w:rsidRDefault="005456FC" w:rsidP="008F7E8B">
      <w:pPr>
        <w:rPr>
          <w:b/>
          <w:szCs w:val="20"/>
        </w:rPr>
      </w:pPr>
    </w:p>
    <w:p w14:paraId="2F4144D2" w14:textId="77777777" w:rsidR="00A43D28" w:rsidRDefault="00A43D28" w:rsidP="008F7E8B">
      <w:pPr>
        <w:rPr>
          <w:b/>
          <w:szCs w:val="20"/>
        </w:rPr>
      </w:pPr>
    </w:p>
    <w:p w14:paraId="52C20DC5" w14:textId="77777777" w:rsidR="00743649" w:rsidRPr="00BC1846" w:rsidRDefault="00743649" w:rsidP="008F7E8B">
      <w:pPr>
        <w:rPr>
          <w:b/>
          <w:szCs w:val="20"/>
        </w:rPr>
      </w:pPr>
      <w:r>
        <w:rPr>
          <w:b/>
          <w:szCs w:val="20"/>
        </w:rPr>
        <w:t>TORONTO DOMINION BANK</w:t>
      </w:r>
      <w:r>
        <w:rPr>
          <w:b/>
          <w:szCs w:val="20"/>
        </w:rPr>
        <w:tab/>
        <w:t>(TD BANK)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New York, NY</w:t>
      </w:r>
    </w:p>
    <w:p w14:paraId="79971063" w14:textId="77777777" w:rsidR="00743649" w:rsidRPr="00CE6013" w:rsidRDefault="00743649" w:rsidP="008F7E8B">
      <w:pPr>
        <w:rPr>
          <w:b/>
        </w:rPr>
      </w:pPr>
      <w:r>
        <w:rPr>
          <w:b/>
        </w:rPr>
        <w:t>Vice President, Management Leadership MBA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56F1">
        <w:rPr>
          <w:b/>
        </w:rPr>
        <w:t xml:space="preserve">                         </w:t>
      </w:r>
      <w:r>
        <w:rPr>
          <w:b/>
        </w:rPr>
        <w:t xml:space="preserve">2010 – </w:t>
      </w:r>
      <w:r w:rsidR="00F856F1">
        <w:rPr>
          <w:b/>
        </w:rPr>
        <w:t>2011</w:t>
      </w:r>
      <w:r>
        <w:rPr>
          <w:b/>
        </w:rPr>
        <w:t xml:space="preserve"> </w:t>
      </w:r>
    </w:p>
    <w:p w14:paraId="335C8D4B" w14:textId="77777777" w:rsidR="00743649" w:rsidRPr="00341D35" w:rsidRDefault="00743649">
      <w:pPr>
        <w:rPr>
          <w:sz w:val="10"/>
          <w:szCs w:val="10"/>
        </w:rPr>
      </w:pPr>
    </w:p>
    <w:p w14:paraId="00A53C4F" w14:textId="77777777" w:rsidR="00743649" w:rsidRDefault="00743649" w:rsidP="00FF4756">
      <w:pPr>
        <w:pStyle w:val="detailswbullets1"/>
        <w:numPr>
          <w:ilvl w:val="0"/>
          <w:numId w:val="0"/>
        </w:numPr>
        <w:ind w:left="300"/>
        <w:rPr>
          <w:b/>
          <w:i/>
        </w:rPr>
      </w:pPr>
      <w:r>
        <w:rPr>
          <w:b/>
          <w:i/>
        </w:rPr>
        <w:t>Commercial Real Estate Lending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</w:t>
      </w:r>
      <w:r>
        <w:rPr>
          <w:b/>
          <w:i/>
        </w:rPr>
        <w:tab/>
        <w:t xml:space="preserve">     2/2011 – 8/2011</w:t>
      </w:r>
    </w:p>
    <w:p w14:paraId="5E074FCE" w14:textId="261C818C" w:rsidR="00743649" w:rsidRPr="004A14B7" w:rsidRDefault="00743649" w:rsidP="005735E4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Underwrote $6</w:t>
      </w:r>
      <w:r w:rsidRPr="004A14B7">
        <w:rPr>
          <w:szCs w:val="20"/>
        </w:rPr>
        <w:t>50M</w:t>
      </w:r>
      <w:r w:rsidR="00147B7B">
        <w:rPr>
          <w:szCs w:val="20"/>
        </w:rPr>
        <w:t>M</w:t>
      </w:r>
      <w:r w:rsidRPr="004A14B7">
        <w:rPr>
          <w:szCs w:val="20"/>
        </w:rPr>
        <w:t xml:space="preserve"> in commercial real estate loans focused on </w:t>
      </w:r>
      <w:r>
        <w:rPr>
          <w:szCs w:val="20"/>
        </w:rPr>
        <w:t>Office, Retail, Mixed Use, and Community Development in New York,</w:t>
      </w:r>
      <w:r w:rsidRPr="004A14B7">
        <w:rPr>
          <w:szCs w:val="20"/>
        </w:rPr>
        <w:t xml:space="preserve"> Washin</w:t>
      </w:r>
      <w:r>
        <w:rPr>
          <w:szCs w:val="20"/>
        </w:rPr>
        <w:t>gton D.C., Virginia, and Massachusetts</w:t>
      </w:r>
    </w:p>
    <w:p w14:paraId="598D7903" w14:textId="77777777" w:rsidR="00743649" w:rsidRPr="004A14B7" w:rsidRDefault="00743649" w:rsidP="005735E4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S</w:t>
      </w:r>
      <w:r w:rsidRPr="004A14B7">
        <w:rPr>
          <w:szCs w:val="20"/>
        </w:rPr>
        <w:t>tructure</w:t>
      </w:r>
      <w:r>
        <w:rPr>
          <w:szCs w:val="20"/>
        </w:rPr>
        <w:t>d</w:t>
      </w:r>
      <w:r w:rsidRPr="004A14B7">
        <w:rPr>
          <w:szCs w:val="20"/>
        </w:rPr>
        <w:t xml:space="preserve"> first mortgage, construc</w:t>
      </w:r>
      <w:r>
        <w:rPr>
          <w:szCs w:val="20"/>
        </w:rPr>
        <w:t xml:space="preserve">tion, and line of credit loans </w:t>
      </w:r>
      <w:r w:rsidRPr="004A14B7">
        <w:rPr>
          <w:szCs w:val="20"/>
        </w:rPr>
        <w:t xml:space="preserve">using Argus and </w:t>
      </w:r>
      <w:r>
        <w:rPr>
          <w:szCs w:val="20"/>
        </w:rPr>
        <w:t>Excel cash flows to value real estate</w:t>
      </w:r>
    </w:p>
    <w:p w14:paraId="236851F7" w14:textId="77777777" w:rsidR="00743649" w:rsidRDefault="00743649" w:rsidP="004A14B7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350" w:hanging="440"/>
        <w:rPr>
          <w:szCs w:val="20"/>
        </w:rPr>
      </w:pPr>
      <w:r w:rsidRPr="004A14B7">
        <w:rPr>
          <w:szCs w:val="20"/>
        </w:rPr>
        <w:t xml:space="preserve">Prepared and presented loan </w:t>
      </w:r>
      <w:r>
        <w:rPr>
          <w:szCs w:val="20"/>
        </w:rPr>
        <w:t>approvals to Senior Management</w:t>
      </w:r>
      <w:r w:rsidR="00033722">
        <w:rPr>
          <w:szCs w:val="20"/>
        </w:rPr>
        <w:t xml:space="preserve">.  </w:t>
      </w:r>
    </w:p>
    <w:p w14:paraId="741D3D74" w14:textId="77777777" w:rsidR="00743649" w:rsidRDefault="00743649" w:rsidP="005735E4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 xml:space="preserve">Analyzed transaction risk and performed due diligence involving </w:t>
      </w:r>
      <w:r w:rsidRPr="004A14B7">
        <w:rPr>
          <w:szCs w:val="20"/>
        </w:rPr>
        <w:t xml:space="preserve">financial analysis, market research analysis, </w:t>
      </w:r>
      <w:r w:rsidR="00CD2F3D">
        <w:rPr>
          <w:szCs w:val="20"/>
        </w:rPr>
        <w:t>etc.</w:t>
      </w:r>
    </w:p>
    <w:p w14:paraId="20CB8B58" w14:textId="77777777" w:rsidR="005527A9" w:rsidRDefault="005527A9" w:rsidP="005527A9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270" w:hanging="360"/>
        <w:rPr>
          <w:szCs w:val="20"/>
        </w:rPr>
      </w:pPr>
      <w:r>
        <w:rPr>
          <w:szCs w:val="20"/>
        </w:rPr>
        <w:t>Evaluated top 54 real estate markets in the USA to determine potential markets to enter and to assess current markets</w:t>
      </w:r>
    </w:p>
    <w:p w14:paraId="3BAD80B7" w14:textId="77777777" w:rsidR="00CD2F3D" w:rsidRPr="00CD2F3D" w:rsidRDefault="00CD2F3D" w:rsidP="000D1129">
      <w:pPr>
        <w:pStyle w:val="detailswbullets1"/>
        <w:numPr>
          <w:ilvl w:val="0"/>
          <w:numId w:val="0"/>
        </w:numPr>
        <w:tabs>
          <w:tab w:val="num" w:pos="270"/>
        </w:tabs>
        <w:ind w:left="360" w:hanging="440"/>
        <w:rPr>
          <w:b/>
          <w:i/>
          <w:sz w:val="10"/>
          <w:szCs w:val="10"/>
        </w:rPr>
      </w:pPr>
    </w:p>
    <w:p w14:paraId="1F84B775" w14:textId="3594C8FA" w:rsidR="006D3F41" w:rsidRDefault="006D3F41" w:rsidP="006D3F41">
      <w:pPr>
        <w:pStyle w:val="detailswbullets1"/>
        <w:numPr>
          <w:ilvl w:val="0"/>
          <w:numId w:val="0"/>
        </w:numPr>
        <w:tabs>
          <w:tab w:val="num" w:pos="270"/>
        </w:tabs>
        <w:ind w:left="270"/>
        <w:rPr>
          <w:b/>
          <w:i/>
        </w:rPr>
      </w:pPr>
    </w:p>
    <w:p w14:paraId="0A2FCCD8" w14:textId="417EB93A" w:rsidR="00743649" w:rsidRPr="008F7E8B" w:rsidRDefault="00743649" w:rsidP="000D1129">
      <w:pPr>
        <w:pStyle w:val="detailswbullets1"/>
        <w:numPr>
          <w:ilvl w:val="0"/>
          <w:numId w:val="0"/>
        </w:numPr>
        <w:tabs>
          <w:tab w:val="num" w:pos="270"/>
        </w:tabs>
        <w:ind w:left="360" w:hanging="440"/>
        <w:rPr>
          <w:b/>
          <w:i/>
        </w:rPr>
      </w:pPr>
      <w:r w:rsidRPr="008F7E8B">
        <w:rPr>
          <w:b/>
          <w:i/>
        </w:rPr>
        <w:t xml:space="preserve">Private Wealth Management </w:t>
      </w:r>
      <w:r>
        <w:rPr>
          <w:b/>
          <w:i/>
        </w:rPr>
        <w:tab/>
      </w:r>
      <w:r>
        <w:rPr>
          <w:b/>
          <w:i/>
        </w:rPr>
        <w:tab/>
      </w:r>
      <w:r w:rsidRPr="008F7E8B">
        <w:rPr>
          <w:b/>
          <w:i/>
        </w:rPr>
        <w:tab/>
      </w:r>
      <w:r w:rsidRPr="008F7E8B">
        <w:rPr>
          <w:b/>
          <w:i/>
        </w:rPr>
        <w:tab/>
      </w:r>
      <w:r w:rsidRPr="008F7E8B">
        <w:rPr>
          <w:b/>
          <w:i/>
        </w:rPr>
        <w:tab/>
      </w:r>
      <w:r w:rsidRPr="008F7E8B">
        <w:rPr>
          <w:b/>
          <w:i/>
        </w:rPr>
        <w:tab/>
      </w:r>
      <w:r w:rsidRPr="008F7E8B">
        <w:rPr>
          <w:b/>
          <w:i/>
        </w:rPr>
        <w:tab/>
      </w:r>
      <w:r w:rsidRPr="008F7E8B">
        <w:rPr>
          <w:b/>
          <w:i/>
        </w:rPr>
        <w:tab/>
      </w:r>
      <w:r>
        <w:rPr>
          <w:b/>
          <w:i/>
        </w:rPr>
        <w:t xml:space="preserve">                   8/2010 – 2/2011</w:t>
      </w:r>
    </w:p>
    <w:p w14:paraId="66D21E35" w14:textId="77777777" w:rsidR="00743649" w:rsidRDefault="00743649" w:rsidP="00400219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300" w:hanging="390"/>
      </w:pPr>
      <w:r>
        <w:t>Conducted</w:t>
      </w:r>
      <w:r w:rsidRPr="00170912">
        <w:t xml:space="preserve"> mortgage product analysis of peer institutions</w:t>
      </w:r>
      <w:r>
        <w:t xml:space="preserve"> that led to increase in TD</w:t>
      </w:r>
      <w:r w:rsidR="005527A9">
        <w:t>’s mortgage product offerings</w:t>
      </w:r>
      <w:r>
        <w:t xml:space="preserve"> </w:t>
      </w:r>
    </w:p>
    <w:p w14:paraId="25DDC9BF" w14:textId="77777777" w:rsidR="00743649" w:rsidRPr="00170912" w:rsidRDefault="00743649" w:rsidP="00400219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350" w:hanging="440"/>
      </w:pPr>
      <w:r>
        <w:t>D</w:t>
      </w:r>
      <w:r w:rsidRPr="00170912">
        <w:t>eveloped wire transfer</w:t>
      </w:r>
      <w:r>
        <w:t xml:space="preserve"> and overdraft</w:t>
      </w:r>
      <w:r w:rsidRPr="00170912">
        <w:t xml:space="preserve"> policies and procedures for Private Banking</w:t>
      </w:r>
    </w:p>
    <w:p w14:paraId="48916CD8" w14:textId="77777777" w:rsidR="00743649" w:rsidRPr="00170912" w:rsidRDefault="00743649" w:rsidP="00A4245B">
      <w:pPr>
        <w:pStyle w:val="detailswbullets1"/>
        <w:numPr>
          <w:ilvl w:val="0"/>
          <w:numId w:val="1"/>
        </w:numPr>
        <w:tabs>
          <w:tab w:val="clear" w:pos="360"/>
          <w:tab w:val="num" w:pos="270"/>
        </w:tabs>
        <w:ind w:left="350" w:hanging="440"/>
      </w:pPr>
      <w:r>
        <w:t>Performed credit and financial analysis of I</w:t>
      </w:r>
      <w:r w:rsidRPr="00170912">
        <w:t xml:space="preserve">ndividuals </w:t>
      </w:r>
      <w:r>
        <w:t>and Businesses</w:t>
      </w:r>
    </w:p>
    <w:tbl>
      <w:tblPr>
        <w:tblW w:w="10579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61"/>
        <w:gridCol w:w="1718"/>
      </w:tblGrid>
      <w:tr w:rsidR="00743649" w:rsidRPr="00F65C4B" w14:paraId="538D686F" w14:textId="77777777" w:rsidTr="003F47BB">
        <w:trPr>
          <w:cantSplit/>
          <w:trHeight w:val="20"/>
          <w:jc w:val="center"/>
        </w:trPr>
        <w:tc>
          <w:tcPr>
            <w:tcW w:w="8861" w:type="dxa"/>
          </w:tcPr>
          <w:p w14:paraId="0E0966C0" w14:textId="77777777" w:rsidR="00743649" w:rsidRPr="00400219" w:rsidRDefault="00743649" w:rsidP="00E328CD">
            <w:pPr>
              <w:rPr>
                <w:b/>
                <w:sz w:val="16"/>
                <w:szCs w:val="16"/>
              </w:rPr>
            </w:pPr>
          </w:p>
          <w:p w14:paraId="19B783C8" w14:textId="77777777" w:rsidR="00743649" w:rsidRPr="00F5623B" w:rsidRDefault="00743649" w:rsidP="00E328CD">
            <w:pPr>
              <w:rPr>
                <w:b/>
                <w:szCs w:val="20"/>
              </w:rPr>
            </w:pPr>
            <w:r w:rsidRPr="00F5623B">
              <w:rPr>
                <w:b/>
                <w:szCs w:val="20"/>
              </w:rPr>
              <w:t xml:space="preserve">MERRILL LYNCH </w:t>
            </w:r>
          </w:p>
          <w:p w14:paraId="304753B1" w14:textId="77777777" w:rsidR="005527A9" w:rsidRDefault="005527A9" w:rsidP="005527A9">
            <w:pPr>
              <w:pStyle w:val="detailswbullets1"/>
              <w:numPr>
                <w:ilvl w:val="0"/>
                <w:numId w:val="0"/>
              </w:numPr>
            </w:pPr>
            <w:r w:rsidRPr="00F5623B">
              <w:rPr>
                <w:b/>
                <w:szCs w:val="20"/>
              </w:rPr>
              <w:t>Assistant Vice President, Global Markets &amp; Investment Banking, Financial Development Group</w:t>
            </w:r>
          </w:p>
          <w:p w14:paraId="3B628471" w14:textId="77777777" w:rsidR="005527A9" w:rsidRDefault="005527A9" w:rsidP="005527A9">
            <w:pPr>
              <w:pStyle w:val="detailswbullets1"/>
              <w:numPr>
                <w:ilvl w:val="0"/>
                <w:numId w:val="0"/>
              </w:numPr>
              <w:ind w:left="350"/>
            </w:pPr>
          </w:p>
          <w:p w14:paraId="4D7FC668" w14:textId="77777777" w:rsidR="005527A9" w:rsidRDefault="005527A9" w:rsidP="005527A9">
            <w:pPr>
              <w:pStyle w:val="detailswbullets1"/>
              <w:numPr>
                <w:ilvl w:val="0"/>
                <w:numId w:val="1"/>
              </w:numPr>
              <w:ind w:left="350" w:hanging="360"/>
            </w:pPr>
            <w:r>
              <w:t>Evaluated $1B real estate joint venture with leading technology consulting firm that involved performing financial analysis, creating term sheet for proposed equity financing, organizing working group, and advising executive management</w:t>
            </w:r>
          </w:p>
          <w:p w14:paraId="39EB5814" w14:textId="77777777" w:rsidR="005527A9" w:rsidRDefault="005527A9" w:rsidP="005527A9">
            <w:pPr>
              <w:pStyle w:val="detailswbullets1"/>
              <w:numPr>
                <w:ilvl w:val="0"/>
                <w:numId w:val="1"/>
              </w:numPr>
              <w:ind w:hanging="370"/>
            </w:pPr>
            <w:r>
              <w:t>Led financial analysis and managed cross-border working team that evaluated moving $500MM worth of noncore Real Estate assets off balance sheet by analyzing sale/leaseback scenarios versus ownership scenarios</w:t>
            </w:r>
          </w:p>
          <w:p w14:paraId="149EB802" w14:textId="77777777" w:rsidR="005527A9" w:rsidRDefault="005527A9" w:rsidP="005527A9">
            <w:pPr>
              <w:pStyle w:val="detailswbullets1"/>
              <w:numPr>
                <w:ilvl w:val="0"/>
                <w:numId w:val="1"/>
              </w:numPr>
              <w:ind w:hanging="370"/>
            </w:pPr>
            <w:r>
              <w:t>Analyzed and implemented corporate strategy initiatives focused on improving Return on Equity and Return on Assets, achieving diversification in revenues, cutting costs, and hedging risk</w:t>
            </w:r>
          </w:p>
          <w:p w14:paraId="2805D5CE" w14:textId="77777777" w:rsidR="005527A9" w:rsidRPr="0085415B" w:rsidRDefault="005527A9" w:rsidP="00E328CD">
            <w:pPr>
              <w:rPr>
                <w:b/>
                <w:sz w:val="16"/>
                <w:szCs w:val="16"/>
              </w:rPr>
            </w:pPr>
          </w:p>
        </w:tc>
        <w:tc>
          <w:tcPr>
            <w:tcW w:w="1718" w:type="dxa"/>
          </w:tcPr>
          <w:p w14:paraId="02E818B4" w14:textId="77777777" w:rsidR="00743649" w:rsidRDefault="00743649" w:rsidP="0080178C">
            <w:pPr>
              <w:jc w:val="right"/>
              <w:rPr>
                <w:b/>
              </w:rPr>
            </w:pPr>
          </w:p>
          <w:p w14:paraId="1D087534" w14:textId="77777777" w:rsidR="00743649" w:rsidRPr="00F65C4B" w:rsidRDefault="00743649" w:rsidP="00F3109E">
            <w:pPr>
              <w:jc w:val="right"/>
              <w:rPr>
                <w:b/>
              </w:rPr>
            </w:pPr>
            <w:r>
              <w:rPr>
                <w:b/>
              </w:rPr>
              <w:t>New York, NY</w:t>
            </w:r>
          </w:p>
          <w:p w14:paraId="68850E21" w14:textId="77777777" w:rsidR="00743649" w:rsidRDefault="00743649" w:rsidP="00F3109E">
            <w:pPr>
              <w:jc w:val="right"/>
              <w:rPr>
                <w:b/>
              </w:rPr>
            </w:pPr>
            <w:r>
              <w:rPr>
                <w:b/>
              </w:rPr>
              <w:t>2007 – 2008</w:t>
            </w:r>
          </w:p>
          <w:p w14:paraId="537BE858" w14:textId="77777777" w:rsidR="00743649" w:rsidRPr="00F5623B" w:rsidRDefault="00743649" w:rsidP="0080178C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743649" w:rsidRPr="00F65C4B" w14:paraId="5EFFE1FB" w14:textId="77777777" w:rsidTr="003B7B2E">
        <w:trPr>
          <w:cantSplit/>
          <w:trHeight w:val="1125"/>
          <w:jc w:val="center"/>
        </w:trPr>
        <w:tc>
          <w:tcPr>
            <w:tcW w:w="10579" w:type="dxa"/>
            <w:gridSpan w:val="2"/>
          </w:tcPr>
          <w:p w14:paraId="72EC5CD0" w14:textId="77777777" w:rsidR="00743649" w:rsidRPr="004C34FA" w:rsidRDefault="00743649" w:rsidP="00F3109E">
            <w:pPr>
              <w:pStyle w:val="detailswbullets1"/>
              <w:numPr>
                <w:ilvl w:val="0"/>
                <w:numId w:val="0"/>
              </w:numPr>
              <w:ind w:left="350"/>
              <w:rPr>
                <w:b/>
                <w:sz w:val="18"/>
                <w:szCs w:val="18"/>
              </w:rPr>
            </w:pPr>
          </w:p>
          <w:p w14:paraId="70B18661" w14:textId="77777777" w:rsidR="00743649" w:rsidRDefault="00743649" w:rsidP="0089345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BEAR STEARNS                                                                                                                                                        New York, NY</w:t>
            </w:r>
          </w:p>
          <w:p w14:paraId="657D29F4" w14:textId="77777777" w:rsidR="00743649" w:rsidRPr="00893453" w:rsidRDefault="00743649" w:rsidP="0089345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Analyst, Global Credit                                                                                                                                                    2005 – 2006</w:t>
            </w:r>
          </w:p>
          <w:p w14:paraId="0DBF5314" w14:textId="77777777" w:rsidR="00743649" w:rsidRPr="004C34FA" w:rsidRDefault="00743649" w:rsidP="00893453">
            <w:pPr>
              <w:pStyle w:val="detailswbullets1"/>
              <w:numPr>
                <w:ilvl w:val="0"/>
                <w:numId w:val="0"/>
              </w:numPr>
              <w:ind w:left="360" w:hanging="245"/>
              <w:rPr>
                <w:sz w:val="8"/>
                <w:szCs w:val="8"/>
              </w:rPr>
            </w:pPr>
          </w:p>
          <w:p w14:paraId="7FE2ED25" w14:textId="77777777" w:rsidR="00743649" w:rsidRDefault="00743649" w:rsidP="00F3109E">
            <w:pPr>
              <w:pStyle w:val="detailswbullets1"/>
              <w:numPr>
                <w:ilvl w:val="0"/>
                <w:numId w:val="1"/>
              </w:numPr>
              <w:ind w:hanging="370"/>
            </w:pPr>
            <w:r>
              <w:t>Rated, monitored, and reviewed over 270</w:t>
            </w:r>
            <w:r w:rsidRPr="00A946D9">
              <w:t xml:space="preserve"> </w:t>
            </w:r>
            <w:r>
              <w:t>banking</w:t>
            </w:r>
            <w:r w:rsidRPr="00A946D9">
              <w:t xml:space="preserve"> clients </w:t>
            </w:r>
            <w:r>
              <w:t xml:space="preserve">that involved </w:t>
            </w:r>
            <w:r w:rsidRPr="00A946D9">
              <w:t xml:space="preserve">evaluating </w:t>
            </w:r>
            <w:r>
              <w:t>financial</w:t>
            </w:r>
            <w:r w:rsidRPr="00A946D9">
              <w:t xml:space="preserve"> institution</w:t>
            </w:r>
            <w:r>
              <w:t>s</w:t>
            </w:r>
            <w:r w:rsidRPr="00A946D9">
              <w:t>’ size, profitability, leverage, liquidity</w:t>
            </w:r>
            <w:r>
              <w:t>, management, and business risk</w:t>
            </w:r>
          </w:p>
          <w:p w14:paraId="3FB09E33" w14:textId="77777777" w:rsidR="00743649" w:rsidRDefault="00743649" w:rsidP="00F3109E">
            <w:pPr>
              <w:pStyle w:val="detailswbullets1"/>
              <w:numPr>
                <w:ilvl w:val="0"/>
                <w:numId w:val="1"/>
              </w:numPr>
              <w:ind w:hanging="370"/>
            </w:pPr>
            <w:r>
              <w:t>Managed counterparty risk across all transaction types including securities financing transactions, forwards, and derivatives</w:t>
            </w:r>
          </w:p>
          <w:p w14:paraId="75B1EACF" w14:textId="77777777" w:rsidR="00743649" w:rsidRPr="000A5420" w:rsidRDefault="00743649" w:rsidP="00F3109E">
            <w:pPr>
              <w:rPr>
                <w:b/>
                <w:sz w:val="12"/>
                <w:szCs w:val="12"/>
              </w:rPr>
            </w:pPr>
          </w:p>
          <w:p w14:paraId="4589F0B3" w14:textId="77777777" w:rsidR="00743649" w:rsidRPr="0053367F" w:rsidRDefault="00743649" w:rsidP="00F3109E">
            <w:pPr>
              <w:rPr>
                <w:b/>
                <w:sz w:val="4"/>
                <w:szCs w:val="4"/>
              </w:rPr>
            </w:pPr>
            <w:r w:rsidRPr="001376E6">
              <w:rPr>
                <w:b/>
              </w:rPr>
              <w:t>Analyst</w:t>
            </w:r>
            <w:r>
              <w:rPr>
                <w:i/>
              </w:rPr>
              <w:t xml:space="preserve">, </w:t>
            </w:r>
            <w:r w:rsidRPr="005E4B40">
              <w:rPr>
                <w:b/>
              </w:rPr>
              <w:t xml:space="preserve">Investment Banking, Financial Institutions &amp; Health Care Group                                                          </w:t>
            </w:r>
            <w:r>
              <w:rPr>
                <w:b/>
              </w:rPr>
              <w:t xml:space="preserve">  </w:t>
            </w:r>
            <w:r w:rsidRPr="005E4B40">
              <w:rPr>
                <w:b/>
              </w:rPr>
              <w:t xml:space="preserve"> </w:t>
            </w:r>
            <w:r>
              <w:rPr>
                <w:b/>
              </w:rPr>
              <w:t>2004 – 2005</w:t>
            </w:r>
          </w:p>
          <w:p w14:paraId="57E3D346" w14:textId="77777777" w:rsidR="00743649" w:rsidRDefault="00743649" w:rsidP="00F3109E">
            <w:pPr>
              <w:pStyle w:val="detailswbullets1"/>
              <w:numPr>
                <w:ilvl w:val="0"/>
                <w:numId w:val="1"/>
              </w:numPr>
              <w:ind w:hanging="370"/>
            </w:pPr>
            <w:r>
              <w:t>Evaluated strategic alternatives for client mergers, acquisitions, divestitures, and financings</w:t>
            </w:r>
          </w:p>
          <w:p w14:paraId="5A2D12DF" w14:textId="77777777" w:rsidR="00743649" w:rsidRDefault="00743649" w:rsidP="00F3109E">
            <w:pPr>
              <w:pStyle w:val="detailswbullets1"/>
              <w:numPr>
                <w:ilvl w:val="0"/>
                <w:numId w:val="1"/>
              </w:numPr>
              <w:ind w:hanging="370"/>
            </w:pPr>
            <w:r>
              <w:t>Valued companies using fundamental and relative methodologies, such as discount cash flows, accretion/dilution, comparable companies, and precedent transaction analyses</w:t>
            </w:r>
          </w:p>
          <w:p w14:paraId="0E39EB2D" w14:textId="77777777" w:rsidR="00743649" w:rsidRPr="004C34FA" w:rsidRDefault="00743649" w:rsidP="00B50C0D">
            <w:pPr>
              <w:pStyle w:val="detailswbullets1"/>
              <w:numPr>
                <w:ilvl w:val="0"/>
                <w:numId w:val="1"/>
              </w:numPr>
              <w:ind w:hanging="370"/>
              <w:rPr>
                <w:b/>
                <w:sz w:val="18"/>
                <w:szCs w:val="18"/>
              </w:rPr>
            </w:pPr>
            <w:r>
              <w:t>Led financial analysis of $256MM merger of United National Group, Penn-America Group and Penn Independent Corporation</w:t>
            </w:r>
          </w:p>
        </w:tc>
      </w:tr>
      <w:tr w:rsidR="00743649" w:rsidRPr="00F65C4B" w14:paraId="60B47E57" w14:textId="77777777">
        <w:trPr>
          <w:cantSplit/>
          <w:trHeight w:val="20"/>
          <w:jc w:val="center"/>
        </w:trPr>
        <w:tc>
          <w:tcPr>
            <w:tcW w:w="8861" w:type="dxa"/>
          </w:tcPr>
          <w:p w14:paraId="07A8CBB1" w14:textId="77777777" w:rsidR="00743649" w:rsidRPr="004C34FA" w:rsidRDefault="00743649" w:rsidP="00F5623B">
            <w:pPr>
              <w:rPr>
                <w:b/>
                <w:sz w:val="8"/>
                <w:szCs w:val="8"/>
              </w:rPr>
            </w:pPr>
          </w:p>
        </w:tc>
        <w:tc>
          <w:tcPr>
            <w:tcW w:w="1718" w:type="dxa"/>
          </w:tcPr>
          <w:p w14:paraId="391B2057" w14:textId="66458E36" w:rsidR="00743649" w:rsidRPr="00F5623B" w:rsidRDefault="00743649" w:rsidP="00264A87">
            <w:pPr>
              <w:jc w:val="right"/>
              <w:rPr>
                <w:b/>
                <w:sz w:val="4"/>
                <w:szCs w:val="4"/>
              </w:rPr>
            </w:pPr>
          </w:p>
        </w:tc>
      </w:tr>
      <w:tr w:rsidR="00743649" w:rsidRPr="00E77683" w14:paraId="4FF920FE" w14:textId="77777777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64273A6C" w14:textId="77777777" w:rsidR="00743649" w:rsidRPr="004C34FA" w:rsidRDefault="00743649" w:rsidP="00E77683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43649" w:rsidRPr="001F1C74" w14:paraId="3C675AFE" w14:textId="77777777" w:rsidTr="00526E20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2311189F" w14:textId="77777777" w:rsidR="00F17356" w:rsidRDefault="00F17356" w:rsidP="00526E20">
            <w:pPr>
              <w:jc w:val="center"/>
              <w:rPr>
                <w:b/>
                <w:sz w:val="22"/>
                <w:szCs w:val="22"/>
              </w:rPr>
            </w:pPr>
          </w:p>
          <w:p w14:paraId="3EE38578" w14:textId="77777777" w:rsidR="00993E4E" w:rsidRDefault="00993E4E" w:rsidP="00526E20">
            <w:pPr>
              <w:jc w:val="center"/>
              <w:rPr>
                <w:b/>
                <w:sz w:val="22"/>
                <w:szCs w:val="22"/>
              </w:rPr>
            </w:pPr>
          </w:p>
          <w:p w14:paraId="1EC0369E" w14:textId="77777777" w:rsidR="00993E4E" w:rsidRDefault="00993E4E" w:rsidP="00526E20">
            <w:pPr>
              <w:jc w:val="center"/>
              <w:rPr>
                <w:b/>
                <w:sz w:val="22"/>
                <w:szCs w:val="22"/>
              </w:rPr>
            </w:pPr>
          </w:p>
          <w:p w14:paraId="23738F5C" w14:textId="39842D07" w:rsidR="00743649" w:rsidRDefault="00743649" w:rsidP="00526E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ADDITIONAL INFORMATION</w:t>
            </w:r>
          </w:p>
          <w:p w14:paraId="234F8328" w14:textId="77777777" w:rsidR="00743649" w:rsidRPr="004C34FA" w:rsidRDefault="00743649" w:rsidP="00526E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649" w:rsidRPr="00572836" w14:paraId="07109FE5" w14:textId="77777777" w:rsidTr="00526E20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65726AAE" w14:textId="26DF010E" w:rsidR="009471E5" w:rsidRPr="009471E5" w:rsidRDefault="00743649" w:rsidP="009471E5">
            <w:pPr>
              <w:pStyle w:val="detailswbullets1"/>
              <w:numPr>
                <w:ilvl w:val="0"/>
                <w:numId w:val="1"/>
              </w:numPr>
              <w:ind w:hanging="370"/>
            </w:pPr>
            <w:r w:rsidRPr="0095331E">
              <w:rPr>
                <w:b/>
              </w:rPr>
              <w:t>Affiliations</w:t>
            </w:r>
            <w:r>
              <w:rPr>
                <w:b/>
              </w:rPr>
              <w:t xml:space="preserve"> </w:t>
            </w:r>
            <w:r w:rsidRPr="0095331E">
              <w:rPr>
                <w:b/>
              </w:rPr>
              <w:t>and Other Experiences:</w:t>
            </w:r>
            <w:r>
              <w:t xml:space="preserve">  Boys and Girls Club of Harlem (Board of Directors, Involved with $80MM Real Estate Project); Certified Manhattan Real Estate Agent; Fork Union Military Academy (Head Basketball Coach and Substitute Teacher)</w:t>
            </w:r>
            <w:r w:rsidR="009471E5" w:rsidRPr="0095331E">
              <w:rPr>
                <w:b/>
              </w:rPr>
              <w:t xml:space="preserve"> </w:t>
            </w:r>
          </w:p>
          <w:p w14:paraId="2E6506BB" w14:textId="0AC6764E" w:rsidR="009471E5" w:rsidRPr="009471E5" w:rsidRDefault="009471E5" w:rsidP="009471E5">
            <w:pPr>
              <w:pStyle w:val="detailswbullets1"/>
              <w:numPr>
                <w:ilvl w:val="0"/>
                <w:numId w:val="0"/>
              </w:numPr>
              <w:ind w:left="360"/>
            </w:pPr>
          </w:p>
          <w:p w14:paraId="3B4D7DC7" w14:textId="051FB953" w:rsidR="009471E5" w:rsidRDefault="009471E5" w:rsidP="009471E5">
            <w:pPr>
              <w:pStyle w:val="detailswbullets1"/>
              <w:numPr>
                <w:ilvl w:val="0"/>
                <w:numId w:val="1"/>
              </w:numPr>
              <w:ind w:hanging="370"/>
            </w:pPr>
            <w:r>
              <w:rPr>
                <w:b/>
              </w:rPr>
              <w:t xml:space="preserve">Internships:  </w:t>
            </w:r>
            <w:r w:rsidRPr="009471E5">
              <w:t>JP Morgan Chase</w:t>
            </w:r>
            <w:r>
              <w:t xml:space="preserve"> (Investment Banking)</w:t>
            </w:r>
            <w:r w:rsidRPr="009471E5">
              <w:t>, Wachovia Capital Partners</w:t>
            </w:r>
            <w:r>
              <w:t xml:space="preserve"> (Private Equity)</w:t>
            </w:r>
            <w:r w:rsidRPr="009471E5">
              <w:t>, BOS Development</w:t>
            </w:r>
            <w:r>
              <w:t xml:space="preserve"> (Real Estate Development)</w:t>
            </w:r>
            <w:r w:rsidRPr="009471E5">
              <w:t>, Enterprise Development</w:t>
            </w:r>
            <w:r>
              <w:t xml:space="preserve"> (Community Development)</w:t>
            </w:r>
            <w:r w:rsidRPr="009471E5">
              <w:t>, Alembic Development</w:t>
            </w:r>
            <w:r>
              <w:t xml:space="preserve"> (Affordable Real Estate Development)</w:t>
            </w:r>
          </w:p>
          <w:p w14:paraId="27CBB0B1" w14:textId="77777777" w:rsidR="009471E5" w:rsidRDefault="009471E5" w:rsidP="007171AB">
            <w:pPr>
              <w:pStyle w:val="detailswbullets1"/>
              <w:numPr>
                <w:ilvl w:val="0"/>
                <w:numId w:val="0"/>
              </w:numPr>
              <w:ind w:left="360"/>
            </w:pPr>
          </w:p>
          <w:p w14:paraId="116C694E" w14:textId="6C69D7DB" w:rsidR="00743649" w:rsidRPr="0095331E" w:rsidRDefault="00743649" w:rsidP="000724B8">
            <w:pPr>
              <w:pStyle w:val="detailswbullets1"/>
              <w:numPr>
                <w:ilvl w:val="0"/>
                <w:numId w:val="1"/>
              </w:numPr>
              <w:ind w:hanging="370"/>
            </w:pPr>
            <w:r w:rsidRPr="007171AB">
              <w:rPr>
                <w:b/>
              </w:rPr>
              <w:t>Skills:</w:t>
            </w:r>
            <w:r w:rsidRPr="007171AB">
              <w:t xml:space="preserve">  </w:t>
            </w:r>
            <w:r w:rsidR="00FD68DB">
              <w:t xml:space="preserve">Georgia Real Estate Salesperson License, ARGUS, </w:t>
            </w:r>
            <w:r w:rsidR="00B809C0">
              <w:t xml:space="preserve">SAS, STATA, </w:t>
            </w:r>
            <w:proofErr w:type="gramStart"/>
            <w:r w:rsidR="00B809C0">
              <w:t>R</w:t>
            </w:r>
            <w:r w:rsidR="00FD68DB" w:rsidRPr="007171AB">
              <w:t xml:space="preserve"> </w:t>
            </w:r>
            <w:r w:rsidRPr="007171AB">
              <w:t>,</w:t>
            </w:r>
            <w:proofErr w:type="gramEnd"/>
            <w:r w:rsidRPr="007171AB">
              <w:t xml:space="preserve"> </w:t>
            </w:r>
            <w:r>
              <w:t xml:space="preserve">REIS, </w:t>
            </w:r>
            <w:r w:rsidRPr="007171AB">
              <w:t>Thomson One Banker, Bloomberg, Intralinks, Factiva, Office 2000, Capital IQ, Hyperion, Interactive Financial Planning System (IFPS), Deal Maven Financial Modeling</w:t>
            </w:r>
          </w:p>
        </w:tc>
      </w:tr>
    </w:tbl>
    <w:p w14:paraId="68AD4D2A" w14:textId="77777777" w:rsidR="009471E5" w:rsidRPr="00AF0A3C" w:rsidRDefault="009471E5" w:rsidP="00D93315"/>
    <w:sectPr w:rsidR="009471E5" w:rsidRPr="00AF0A3C" w:rsidSect="002659E3">
      <w:headerReference w:type="even" r:id="rId9"/>
      <w:headerReference w:type="default" r:id="rId10"/>
      <w:footerReference w:type="even" r:id="rId11"/>
      <w:footerReference w:type="first" r:id="rId12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D58DB" w14:textId="77777777" w:rsidR="00E52B30" w:rsidRDefault="00E52B30">
      <w:r>
        <w:separator/>
      </w:r>
    </w:p>
  </w:endnote>
  <w:endnote w:type="continuationSeparator" w:id="0">
    <w:p w14:paraId="4BC72011" w14:textId="77777777" w:rsidR="00E52B30" w:rsidRDefault="00E5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6F843" w14:textId="567FE279" w:rsidR="00B45022" w:rsidRDefault="00B4502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6028D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6028D">
      <w:rPr>
        <w:b/>
        <w:noProof/>
      </w:rPr>
      <w:t>2</w:t>
    </w:r>
    <w:r>
      <w:rPr>
        <w:b/>
      </w:rPr>
      <w:fldChar w:fldCharType="end"/>
    </w:r>
  </w:p>
  <w:p w14:paraId="135F1967" w14:textId="77777777" w:rsidR="00B45022" w:rsidRDefault="00B45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B439" w14:textId="63AB7F3C" w:rsidR="00B45022" w:rsidRDefault="00B4502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6028D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6028D">
      <w:rPr>
        <w:b/>
        <w:noProof/>
      </w:rPr>
      <w:t>2</w:t>
    </w:r>
    <w:r>
      <w:rPr>
        <w:b/>
      </w:rPr>
      <w:fldChar w:fldCharType="end"/>
    </w:r>
  </w:p>
  <w:p w14:paraId="627EB177" w14:textId="77777777" w:rsidR="00B45022" w:rsidRDefault="00B4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C4BA0" w14:textId="77777777" w:rsidR="00E52B30" w:rsidRDefault="00E52B30">
      <w:r>
        <w:separator/>
      </w:r>
    </w:p>
  </w:footnote>
  <w:footnote w:type="continuationSeparator" w:id="0">
    <w:p w14:paraId="016D19EB" w14:textId="77777777" w:rsidR="00E52B30" w:rsidRDefault="00E5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1A09" w14:textId="5C68299B" w:rsidR="00B45022" w:rsidRDefault="00B45022" w:rsidP="00F17356">
    <w:pPr>
      <w:pStyle w:val="Header"/>
      <w:tabs>
        <w:tab w:val="clear" w:pos="4320"/>
        <w:tab w:val="clear" w:pos="8640"/>
        <w:tab w:val="right" w:pos="10224"/>
      </w:tabs>
    </w:pPr>
    <w:r>
      <w:rPr>
        <w:rFonts w:ascii="Cambria" w:hAnsi="Cambria"/>
        <w:sz w:val="24"/>
      </w:rPr>
      <w:t>Page Two</w:t>
    </w:r>
    <w:r>
      <w:rPr>
        <w:rFonts w:ascii="Cambria" w:hAnsi="Cambria"/>
        <w:sz w:val="24"/>
      </w:rPr>
      <w:tab/>
      <w:t>Ryan Lowery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22E82" w14:textId="18EEA22E" w:rsidR="00B45022" w:rsidRDefault="00B45022" w:rsidP="002659E3">
    <w:pPr>
      <w:pStyle w:val="Header"/>
      <w:tabs>
        <w:tab w:val="clear" w:pos="4320"/>
        <w:tab w:val="clear" w:pos="8640"/>
        <w:tab w:val="right" w:pos="10224"/>
      </w:tabs>
    </w:pPr>
    <w:r>
      <w:rPr>
        <w:rFonts w:ascii="Cambria" w:hAnsi="Cambria"/>
        <w:sz w:val="24"/>
      </w:rPr>
      <w:t>Page Three</w:t>
    </w:r>
    <w:r>
      <w:rPr>
        <w:rFonts w:ascii="Cambria" w:hAnsi="Cambria"/>
        <w:sz w:val="24"/>
      </w:rPr>
      <w:tab/>
      <w:t>Ryan Lowery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0B406A"/>
    <w:multiLevelType w:val="hybridMultilevel"/>
    <w:tmpl w:val="9982980C"/>
    <w:lvl w:ilvl="0" w:tplc="768C7A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37D8"/>
    <w:multiLevelType w:val="multilevel"/>
    <w:tmpl w:val="868C2914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66BB1"/>
    <w:multiLevelType w:val="hybridMultilevel"/>
    <w:tmpl w:val="989896E0"/>
    <w:lvl w:ilvl="0" w:tplc="5386C3C2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00E24"/>
    <w:multiLevelType w:val="multilevel"/>
    <w:tmpl w:val="98989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8005D"/>
    <w:multiLevelType w:val="multilevel"/>
    <w:tmpl w:val="03F4DF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6641A"/>
    <w:multiLevelType w:val="hybridMultilevel"/>
    <w:tmpl w:val="13E81EF2"/>
    <w:lvl w:ilvl="0" w:tplc="248087EC">
      <w:start w:val="1"/>
      <w:numFmt w:val="bullet"/>
      <w:pStyle w:val="detailswbullet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F7AFA"/>
    <w:multiLevelType w:val="multilevel"/>
    <w:tmpl w:val="F8F67B5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04"/>
    <w:rsid w:val="0001072D"/>
    <w:rsid w:val="00014E3B"/>
    <w:rsid w:val="00016579"/>
    <w:rsid w:val="00024349"/>
    <w:rsid w:val="00025C18"/>
    <w:rsid w:val="00026B9C"/>
    <w:rsid w:val="00030455"/>
    <w:rsid w:val="00033722"/>
    <w:rsid w:val="00041154"/>
    <w:rsid w:val="000430E9"/>
    <w:rsid w:val="00050E96"/>
    <w:rsid w:val="0005286D"/>
    <w:rsid w:val="000625B6"/>
    <w:rsid w:val="000628D9"/>
    <w:rsid w:val="0006373F"/>
    <w:rsid w:val="000638E4"/>
    <w:rsid w:val="00066975"/>
    <w:rsid w:val="00070FB6"/>
    <w:rsid w:val="0007162D"/>
    <w:rsid w:val="000724B8"/>
    <w:rsid w:val="0007551F"/>
    <w:rsid w:val="00080120"/>
    <w:rsid w:val="000A153D"/>
    <w:rsid w:val="000A39CF"/>
    <w:rsid w:val="000A3E7D"/>
    <w:rsid w:val="000A538D"/>
    <w:rsid w:val="000A5420"/>
    <w:rsid w:val="000A59A9"/>
    <w:rsid w:val="000A63ED"/>
    <w:rsid w:val="000A7A7E"/>
    <w:rsid w:val="000B48C3"/>
    <w:rsid w:val="000B7FC7"/>
    <w:rsid w:val="000C4AA5"/>
    <w:rsid w:val="000C4BE8"/>
    <w:rsid w:val="000D0058"/>
    <w:rsid w:val="000D1129"/>
    <w:rsid w:val="000D3579"/>
    <w:rsid w:val="000E304E"/>
    <w:rsid w:val="000E4A23"/>
    <w:rsid w:val="000F01E9"/>
    <w:rsid w:val="000F1577"/>
    <w:rsid w:val="00111063"/>
    <w:rsid w:val="0011278E"/>
    <w:rsid w:val="00113B02"/>
    <w:rsid w:val="001240AD"/>
    <w:rsid w:val="00127CFF"/>
    <w:rsid w:val="00133EDC"/>
    <w:rsid w:val="00134D8E"/>
    <w:rsid w:val="00135932"/>
    <w:rsid w:val="001376E6"/>
    <w:rsid w:val="00141EF0"/>
    <w:rsid w:val="00147B7B"/>
    <w:rsid w:val="00152897"/>
    <w:rsid w:val="00157B8D"/>
    <w:rsid w:val="001604E5"/>
    <w:rsid w:val="00170912"/>
    <w:rsid w:val="00176E5D"/>
    <w:rsid w:val="00177D26"/>
    <w:rsid w:val="0018296E"/>
    <w:rsid w:val="00187635"/>
    <w:rsid w:val="00194A27"/>
    <w:rsid w:val="001950A5"/>
    <w:rsid w:val="00196484"/>
    <w:rsid w:val="001A121F"/>
    <w:rsid w:val="001A4EE4"/>
    <w:rsid w:val="001B2A31"/>
    <w:rsid w:val="001C03AA"/>
    <w:rsid w:val="001C3E60"/>
    <w:rsid w:val="001C4BBD"/>
    <w:rsid w:val="001C5C22"/>
    <w:rsid w:val="001D1787"/>
    <w:rsid w:val="001D27D8"/>
    <w:rsid w:val="001E0A1A"/>
    <w:rsid w:val="001E5A4E"/>
    <w:rsid w:val="001E6B85"/>
    <w:rsid w:val="001F1C74"/>
    <w:rsid w:val="001F2082"/>
    <w:rsid w:val="00205EE4"/>
    <w:rsid w:val="00206482"/>
    <w:rsid w:val="002068B6"/>
    <w:rsid w:val="00206FF5"/>
    <w:rsid w:val="00210D84"/>
    <w:rsid w:val="00216E25"/>
    <w:rsid w:val="002221BB"/>
    <w:rsid w:val="00223953"/>
    <w:rsid w:val="00226DD5"/>
    <w:rsid w:val="00227C01"/>
    <w:rsid w:val="00230144"/>
    <w:rsid w:val="00257004"/>
    <w:rsid w:val="002577B9"/>
    <w:rsid w:val="00260F47"/>
    <w:rsid w:val="00264371"/>
    <w:rsid w:val="00264A87"/>
    <w:rsid w:val="002659E3"/>
    <w:rsid w:val="00273B72"/>
    <w:rsid w:val="00277339"/>
    <w:rsid w:val="00281CCE"/>
    <w:rsid w:val="00297ACD"/>
    <w:rsid w:val="002A1AE9"/>
    <w:rsid w:val="002A25FA"/>
    <w:rsid w:val="002A2A45"/>
    <w:rsid w:val="002A6E98"/>
    <w:rsid w:val="002C4A8A"/>
    <w:rsid w:val="002C737D"/>
    <w:rsid w:val="002F3566"/>
    <w:rsid w:val="0030431D"/>
    <w:rsid w:val="00304857"/>
    <w:rsid w:val="00304A58"/>
    <w:rsid w:val="003067DF"/>
    <w:rsid w:val="00311EBB"/>
    <w:rsid w:val="00314008"/>
    <w:rsid w:val="00320E1E"/>
    <w:rsid w:val="00330023"/>
    <w:rsid w:val="0033006F"/>
    <w:rsid w:val="00333670"/>
    <w:rsid w:val="003363B1"/>
    <w:rsid w:val="00341D35"/>
    <w:rsid w:val="00352287"/>
    <w:rsid w:val="003874C7"/>
    <w:rsid w:val="00390534"/>
    <w:rsid w:val="003A176F"/>
    <w:rsid w:val="003B07B3"/>
    <w:rsid w:val="003B0A62"/>
    <w:rsid w:val="003B2F4D"/>
    <w:rsid w:val="003B7B2E"/>
    <w:rsid w:val="003C2F9C"/>
    <w:rsid w:val="003D17DF"/>
    <w:rsid w:val="003D6EB7"/>
    <w:rsid w:val="003E4ED4"/>
    <w:rsid w:val="003F1959"/>
    <w:rsid w:val="003F47BB"/>
    <w:rsid w:val="00400219"/>
    <w:rsid w:val="00400724"/>
    <w:rsid w:val="00412C56"/>
    <w:rsid w:val="00413BA9"/>
    <w:rsid w:val="00427AD6"/>
    <w:rsid w:val="00444417"/>
    <w:rsid w:val="00451118"/>
    <w:rsid w:val="00451EB5"/>
    <w:rsid w:val="004539AC"/>
    <w:rsid w:val="00464E4C"/>
    <w:rsid w:val="00467761"/>
    <w:rsid w:val="0047480F"/>
    <w:rsid w:val="00480EBF"/>
    <w:rsid w:val="00484A90"/>
    <w:rsid w:val="00491B9A"/>
    <w:rsid w:val="00493730"/>
    <w:rsid w:val="004A0D36"/>
    <w:rsid w:val="004A14B7"/>
    <w:rsid w:val="004A2A28"/>
    <w:rsid w:val="004A68AA"/>
    <w:rsid w:val="004C1A40"/>
    <w:rsid w:val="004C34FA"/>
    <w:rsid w:val="004C6D3B"/>
    <w:rsid w:val="004C754D"/>
    <w:rsid w:val="004D0D7E"/>
    <w:rsid w:val="004D54E1"/>
    <w:rsid w:val="004E057D"/>
    <w:rsid w:val="004E0C1A"/>
    <w:rsid w:val="004E1BD4"/>
    <w:rsid w:val="004E5CC3"/>
    <w:rsid w:val="004E6855"/>
    <w:rsid w:val="004E73F8"/>
    <w:rsid w:val="004F40D9"/>
    <w:rsid w:val="004F751B"/>
    <w:rsid w:val="00505C34"/>
    <w:rsid w:val="005116BB"/>
    <w:rsid w:val="00517ED8"/>
    <w:rsid w:val="00521C1A"/>
    <w:rsid w:val="00526BD8"/>
    <w:rsid w:val="00526E20"/>
    <w:rsid w:val="00531CB9"/>
    <w:rsid w:val="005328CB"/>
    <w:rsid w:val="0053367F"/>
    <w:rsid w:val="005434E3"/>
    <w:rsid w:val="005456FC"/>
    <w:rsid w:val="00545FDA"/>
    <w:rsid w:val="00550CC2"/>
    <w:rsid w:val="005527A9"/>
    <w:rsid w:val="00557498"/>
    <w:rsid w:val="00571A13"/>
    <w:rsid w:val="00572836"/>
    <w:rsid w:val="005735E4"/>
    <w:rsid w:val="00591722"/>
    <w:rsid w:val="00592728"/>
    <w:rsid w:val="005A47A2"/>
    <w:rsid w:val="005B5A29"/>
    <w:rsid w:val="005B6732"/>
    <w:rsid w:val="005B7C17"/>
    <w:rsid w:val="005C2E77"/>
    <w:rsid w:val="005D002B"/>
    <w:rsid w:val="005D076E"/>
    <w:rsid w:val="005D12E8"/>
    <w:rsid w:val="005D1CAC"/>
    <w:rsid w:val="005E20CB"/>
    <w:rsid w:val="005E36C9"/>
    <w:rsid w:val="005E4B40"/>
    <w:rsid w:val="00604FC4"/>
    <w:rsid w:val="006073AF"/>
    <w:rsid w:val="00613A71"/>
    <w:rsid w:val="006148F1"/>
    <w:rsid w:val="00625A39"/>
    <w:rsid w:val="00626639"/>
    <w:rsid w:val="00626D96"/>
    <w:rsid w:val="00631C0E"/>
    <w:rsid w:val="006509F1"/>
    <w:rsid w:val="006512B0"/>
    <w:rsid w:val="00676BBD"/>
    <w:rsid w:val="00680114"/>
    <w:rsid w:val="006845AD"/>
    <w:rsid w:val="006919D8"/>
    <w:rsid w:val="006921E9"/>
    <w:rsid w:val="006933DB"/>
    <w:rsid w:val="006A2151"/>
    <w:rsid w:val="006A33A2"/>
    <w:rsid w:val="006B7158"/>
    <w:rsid w:val="006B7CE6"/>
    <w:rsid w:val="006C3255"/>
    <w:rsid w:val="006C3429"/>
    <w:rsid w:val="006C6FE4"/>
    <w:rsid w:val="006D3F41"/>
    <w:rsid w:val="006D6E76"/>
    <w:rsid w:val="006E5ED2"/>
    <w:rsid w:val="006E7570"/>
    <w:rsid w:val="006F1134"/>
    <w:rsid w:val="006F231A"/>
    <w:rsid w:val="006F3E09"/>
    <w:rsid w:val="006F432D"/>
    <w:rsid w:val="007036F4"/>
    <w:rsid w:val="007134E9"/>
    <w:rsid w:val="007171AB"/>
    <w:rsid w:val="00730650"/>
    <w:rsid w:val="00735F04"/>
    <w:rsid w:val="00743649"/>
    <w:rsid w:val="0074397B"/>
    <w:rsid w:val="00747885"/>
    <w:rsid w:val="00750F16"/>
    <w:rsid w:val="0075168B"/>
    <w:rsid w:val="007541BC"/>
    <w:rsid w:val="007546A7"/>
    <w:rsid w:val="00755B04"/>
    <w:rsid w:val="00772A22"/>
    <w:rsid w:val="00783083"/>
    <w:rsid w:val="007858CD"/>
    <w:rsid w:val="00785A2C"/>
    <w:rsid w:val="00792B11"/>
    <w:rsid w:val="00793D56"/>
    <w:rsid w:val="007A2F36"/>
    <w:rsid w:val="007A35BC"/>
    <w:rsid w:val="007C149A"/>
    <w:rsid w:val="007D1241"/>
    <w:rsid w:val="007D4E63"/>
    <w:rsid w:val="007E1C75"/>
    <w:rsid w:val="007E381A"/>
    <w:rsid w:val="007F21DC"/>
    <w:rsid w:val="007F3E7F"/>
    <w:rsid w:val="0080178C"/>
    <w:rsid w:val="00802AA8"/>
    <w:rsid w:val="00825030"/>
    <w:rsid w:val="008274E1"/>
    <w:rsid w:val="00831C10"/>
    <w:rsid w:val="00840EAB"/>
    <w:rsid w:val="008465EA"/>
    <w:rsid w:val="0085415B"/>
    <w:rsid w:val="0086135A"/>
    <w:rsid w:val="00865BA9"/>
    <w:rsid w:val="0089206F"/>
    <w:rsid w:val="00893453"/>
    <w:rsid w:val="008A10BA"/>
    <w:rsid w:val="008A20D3"/>
    <w:rsid w:val="008A26EB"/>
    <w:rsid w:val="008A435E"/>
    <w:rsid w:val="008A566B"/>
    <w:rsid w:val="008A663E"/>
    <w:rsid w:val="008B3B42"/>
    <w:rsid w:val="008B6772"/>
    <w:rsid w:val="008C2C26"/>
    <w:rsid w:val="008C41B3"/>
    <w:rsid w:val="008C750F"/>
    <w:rsid w:val="008D01ED"/>
    <w:rsid w:val="008F2A0C"/>
    <w:rsid w:val="008F7E8B"/>
    <w:rsid w:val="00923CB3"/>
    <w:rsid w:val="00924291"/>
    <w:rsid w:val="00927957"/>
    <w:rsid w:val="00931517"/>
    <w:rsid w:val="009318D3"/>
    <w:rsid w:val="00933615"/>
    <w:rsid w:val="009352AB"/>
    <w:rsid w:val="0093621E"/>
    <w:rsid w:val="009423F8"/>
    <w:rsid w:val="009471E5"/>
    <w:rsid w:val="0095331E"/>
    <w:rsid w:val="00957EE5"/>
    <w:rsid w:val="009605B3"/>
    <w:rsid w:val="00967B0B"/>
    <w:rsid w:val="009730A5"/>
    <w:rsid w:val="00983AC3"/>
    <w:rsid w:val="00985075"/>
    <w:rsid w:val="00991B70"/>
    <w:rsid w:val="00993E4E"/>
    <w:rsid w:val="009B083A"/>
    <w:rsid w:val="009B3215"/>
    <w:rsid w:val="009B382F"/>
    <w:rsid w:val="009B3DF3"/>
    <w:rsid w:val="009B4D55"/>
    <w:rsid w:val="009D6ECB"/>
    <w:rsid w:val="009E1C81"/>
    <w:rsid w:val="009E24A3"/>
    <w:rsid w:val="009E7601"/>
    <w:rsid w:val="009F0F07"/>
    <w:rsid w:val="00A06082"/>
    <w:rsid w:val="00A10051"/>
    <w:rsid w:val="00A207CC"/>
    <w:rsid w:val="00A21CF9"/>
    <w:rsid w:val="00A25DE0"/>
    <w:rsid w:val="00A26202"/>
    <w:rsid w:val="00A3512F"/>
    <w:rsid w:val="00A37E12"/>
    <w:rsid w:val="00A409B3"/>
    <w:rsid w:val="00A4245B"/>
    <w:rsid w:val="00A42957"/>
    <w:rsid w:val="00A43D28"/>
    <w:rsid w:val="00A4571E"/>
    <w:rsid w:val="00A50F31"/>
    <w:rsid w:val="00A572F2"/>
    <w:rsid w:val="00A64113"/>
    <w:rsid w:val="00A65358"/>
    <w:rsid w:val="00A67F2C"/>
    <w:rsid w:val="00A7397E"/>
    <w:rsid w:val="00A82FBB"/>
    <w:rsid w:val="00A946D9"/>
    <w:rsid w:val="00A96BBA"/>
    <w:rsid w:val="00AA2A7E"/>
    <w:rsid w:val="00AB2C6B"/>
    <w:rsid w:val="00AB2F87"/>
    <w:rsid w:val="00AB7219"/>
    <w:rsid w:val="00AC2052"/>
    <w:rsid w:val="00AC3D0E"/>
    <w:rsid w:val="00AE3CB1"/>
    <w:rsid w:val="00AE3F85"/>
    <w:rsid w:val="00AE4CD1"/>
    <w:rsid w:val="00AF0A3C"/>
    <w:rsid w:val="00B00DFC"/>
    <w:rsid w:val="00B1226A"/>
    <w:rsid w:val="00B13761"/>
    <w:rsid w:val="00B13F70"/>
    <w:rsid w:val="00B15A25"/>
    <w:rsid w:val="00B16A5E"/>
    <w:rsid w:val="00B216D7"/>
    <w:rsid w:val="00B26543"/>
    <w:rsid w:val="00B3121C"/>
    <w:rsid w:val="00B350C1"/>
    <w:rsid w:val="00B3696E"/>
    <w:rsid w:val="00B44FBC"/>
    <w:rsid w:val="00B45022"/>
    <w:rsid w:val="00B50C0D"/>
    <w:rsid w:val="00B51213"/>
    <w:rsid w:val="00B5513F"/>
    <w:rsid w:val="00B6182E"/>
    <w:rsid w:val="00B66EE8"/>
    <w:rsid w:val="00B809C0"/>
    <w:rsid w:val="00B82E1C"/>
    <w:rsid w:val="00B923F4"/>
    <w:rsid w:val="00BA5758"/>
    <w:rsid w:val="00BB35A0"/>
    <w:rsid w:val="00BC1846"/>
    <w:rsid w:val="00BC1867"/>
    <w:rsid w:val="00BC6D9F"/>
    <w:rsid w:val="00BC7CF3"/>
    <w:rsid w:val="00BD27ED"/>
    <w:rsid w:val="00BE03CE"/>
    <w:rsid w:val="00BE13F3"/>
    <w:rsid w:val="00BF0B5B"/>
    <w:rsid w:val="00BF434D"/>
    <w:rsid w:val="00C10D64"/>
    <w:rsid w:val="00C1258C"/>
    <w:rsid w:val="00C216F8"/>
    <w:rsid w:val="00C36289"/>
    <w:rsid w:val="00C4114B"/>
    <w:rsid w:val="00C45067"/>
    <w:rsid w:val="00C52CAE"/>
    <w:rsid w:val="00C66728"/>
    <w:rsid w:val="00C70F00"/>
    <w:rsid w:val="00C77759"/>
    <w:rsid w:val="00C77C49"/>
    <w:rsid w:val="00C82A5F"/>
    <w:rsid w:val="00C830D8"/>
    <w:rsid w:val="00C86C07"/>
    <w:rsid w:val="00CA020C"/>
    <w:rsid w:val="00CA0322"/>
    <w:rsid w:val="00CA3CAC"/>
    <w:rsid w:val="00CA4FF7"/>
    <w:rsid w:val="00CB5CC2"/>
    <w:rsid w:val="00CB5FEC"/>
    <w:rsid w:val="00CC2616"/>
    <w:rsid w:val="00CC6A2F"/>
    <w:rsid w:val="00CD2F3D"/>
    <w:rsid w:val="00CD3796"/>
    <w:rsid w:val="00CE6013"/>
    <w:rsid w:val="00CF2939"/>
    <w:rsid w:val="00CF7CF7"/>
    <w:rsid w:val="00D00C36"/>
    <w:rsid w:val="00D02616"/>
    <w:rsid w:val="00D0266F"/>
    <w:rsid w:val="00D14BB8"/>
    <w:rsid w:val="00D176EA"/>
    <w:rsid w:val="00D17720"/>
    <w:rsid w:val="00D2005F"/>
    <w:rsid w:val="00D231D0"/>
    <w:rsid w:val="00D31860"/>
    <w:rsid w:val="00D32B61"/>
    <w:rsid w:val="00D355C0"/>
    <w:rsid w:val="00D44C01"/>
    <w:rsid w:val="00D4607F"/>
    <w:rsid w:val="00D50CDB"/>
    <w:rsid w:val="00D541C2"/>
    <w:rsid w:val="00D5425A"/>
    <w:rsid w:val="00D5524C"/>
    <w:rsid w:val="00D560B5"/>
    <w:rsid w:val="00D6028D"/>
    <w:rsid w:val="00D639CB"/>
    <w:rsid w:val="00D67286"/>
    <w:rsid w:val="00D70060"/>
    <w:rsid w:val="00D73D04"/>
    <w:rsid w:val="00D7638C"/>
    <w:rsid w:val="00D77C9B"/>
    <w:rsid w:val="00D81ED0"/>
    <w:rsid w:val="00D81F1D"/>
    <w:rsid w:val="00D8371E"/>
    <w:rsid w:val="00D90DE5"/>
    <w:rsid w:val="00D93315"/>
    <w:rsid w:val="00DA03C5"/>
    <w:rsid w:val="00DB03F0"/>
    <w:rsid w:val="00DB6734"/>
    <w:rsid w:val="00DD4E79"/>
    <w:rsid w:val="00DD579B"/>
    <w:rsid w:val="00DE2AD4"/>
    <w:rsid w:val="00DE3F6B"/>
    <w:rsid w:val="00DE4735"/>
    <w:rsid w:val="00DE554B"/>
    <w:rsid w:val="00DE7F5C"/>
    <w:rsid w:val="00DF37EA"/>
    <w:rsid w:val="00DF4F05"/>
    <w:rsid w:val="00DF7A25"/>
    <w:rsid w:val="00E05BDB"/>
    <w:rsid w:val="00E0690D"/>
    <w:rsid w:val="00E101B8"/>
    <w:rsid w:val="00E104A4"/>
    <w:rsid w:val="00E116A0"/>
    <w:rsid w:val="00E1427D"/>
    <w:rsid w:val="00E166A1"/>
    <w:rsid w:val="00E21D51"/>
    <w:rsid w:val="00E27D40"/>
    <w:rsid w:val="00E30DF2"/>
    <w:rsid w:val="00E321CA"/>
    <w:rsid w:val="00E328CD"/>
    <w:rsid w:val="00E47C95"/>
    <w:rsid w:val="00E52B30"/>
    <w:rsid w:val="00E53723"/>
    <w:rsid w:val="00E6113D"/>
    <w:rsid w:val="00E63F1E"/>
    <w:rsid w:val="00E6541A"/>
    <w:rsid w:val="00E66B60"/>
    <w:rsid w:val="00E724C0"/>
    <w:rsid w:val="00E75E7C"/>
    <w:rsid w:val="00E77683"/>
    <w:rsid w:val="00E93622"/>
    <w:rsid w:val="00E97CA6"/>
    <w:rsid w:val="00EB0B3B"/>
    <w:rsid w:val="00EB20E6"/>
    <w:rsid w:val="00EB5454"/>
    <w:rsid w:val="00EB651F"/>
    <w:rsid w:val="00ED7730"/>
    <w:rsid w:val="00EF1458"/>
    <w:rsid w:val="00F06BF2"/>
    <w:rsid w:val="00F17356"/>
    <w:rsid w:val="00F17382"/>
    <w:rsid w:val="00F22CAA"/>
    <w:rsid w:val="00F24020"/>
    <w:rsid w:val="00F25EA9"/>
    <w:rsid w:val="00F26C14"/>
    <w:rsid w:val="00F273E9"/>
    <w:rsid w:val="00F3109E"/>
    <w:rsid w:val="00F36D75"/>
    <w:rsid w:val="00F4631A"/>
    <w:rsid w:val="00F5623B"/>
    <w:rsid w:val="00F56E9A"/>
    <w:rsid w:val="00F57ACD"/>
    <w:rsid w:val="00F62FBE"/>
    <w:rsid w:val="00F634DE"/>
    <w:rsid w:val="00F654D3"/>
    <w:rsid w:val="00F65C4B"/>
    <w:rsid w:val="00F70EE7"/>
    <w:rsid w:val="00F72D5C"/>
    <w:rsid w:val="00F76733"/>
    <w:rsid w:val="00F77D22"/>
    <w:rsid w:val="00F84BC1"/>
    <w:rsid w:val="00F856F1"/>
    <w:rsid w:val="00F86D48"/>
    <w:rsid w:val="00FB28E1"/>
    <w:rsid w:val="00FB6830"/>
    <w:rsid w:val="00FB694A"/>
    <w:rsid w:val="00FB7891"/>
    <w:rsid w:val="00FC624E"/>
    <w:rsid w:val="00FC6AD9"/>
    <w:rsid w:val="00FD0EF1"/>
    <w:rsid w:val="00FD31EC"/>
    <w:rsid w:val="00FD5EBC"/>
    <w:rsid w:val="00FD68DB"/>
    <w:rsid w:val="00FE2FF9"/>
    <w:rsid w:val="00FF0749"/>
    <w:rsid w:val="00FF3B97"/>
    <w:rsid w:val="00FF4756"/>
    <w:rsid w:val="00FF5FF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33F59"/>
  <w15:docId w15:val="{EBA496DD-0571-F642-8544-8953258C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5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99"/>
    <w:rsid w:val="00223953"/>
    <w:pPr>
      <w:jc w:val="center"/>
    </w:pPr>
  </w:style>
  <w:style w:type="paragraph" w:customStyle="1" w:styleId="dates">
    <w:name w:val="dates"/>
    <w:basedOn w:val="Normal"/>
    <w:uiPriority w:val="99"/>
    <w:rsid w:val="00223953"/>
    <w:pPr>
      <w:jc w:val="right"/>
    </w:pPr>
    <w:rPr>
      <w:b/>
      <w:bCs/>
      <w:szCs w:val="20"/>
    </w:rPr>
  </w:style>
  <w:style w:type="paragraph" w:customStyle="1" w:styleId="details">
    <w:name w:val="details"/>
    <w:basedOn w:val="Normal"/>
    <w:uiPriority w:val="99"/>
    <w:rsid w:val="00223953"/>
    <w:pPr>
      <w:tabs>
        <w:tab w:val="left" w:pos="360"/>
      </w:tabs>
      <w:ind w:left="115"/>
    </w:pPr>
    <w:rPr>
      <w:szCs w:val="20"/>
    </w:rPr>
  </w:style>
  <w:style w:type="paragraph" w:customStyle="1" w:styleId="detailswbullets1">
    <w:name w:val="details w/bullets 1"/>
    <w:basedOn w:val="Normal"/>
    <w:link w:val="detailswbullets1Char"/>
    <w:uiPriority w:val="99"/>
    <w:rsid w:val="00135932"/>
    <w:pPr>
      <w:numPr>
        <w:numId w:val="5"/>
      </w:numPr>
    </w:pPr>
  </w:style>
  <w:style w:type="paragraph" w:customStyle="1" w:styleId="detailswbullets2">
    <w:name w:val="details w/bullets 2"/>
    <w:basedOn w:val="detailswbullets1"/>
    <w:uiPriority w:val="99"/>
    <w:rsid w:val="00AB2C6B"/>
    <w:pPr>
      <w:numPr>
        <w:numId w:val="4"/>
      </w:numPr>
    </w:pPr>
  </w:style>
  <w:style w:type="paragraph" w:customStyle="1" w:styleId="institutionname">
    <w:name w:val="institution name"/>
    <w:basedOn w:val="Normal"/>
    <w:uiPriority w:val="99"/>
    <w:rsid w:val="00223953"/>
    <w:pPr>
      <w:spacing w:before="180"/>
    </w:pPr>
    <w:rPr>
      <w:b/>
      <w:bCs/>
      <w:caps/>
      <w:szCs w:val="20"/>
    </w:rPr>
  </w:style>
  <w:style w:type="paragraph" w:customStyle="1" w:styleId="jobtitle">
    <w:name w:val="job title"/>
    <w:basedOn w:val="Normal"/>
    <w:uiPriority w:val="99"/>
    <w:rsid w:val="00223953"/>
    <w:rPr>
      <w:b/>
      <w:bCs/>
      <w:szCs w:val="20"/>
    </w:rPr>
  </w:style>
  <w:style w:type="paragraph" w:customStyle="1" w:styleId="location">
    <w:name w:val="location"/>
    <w:basedOn w:val="Normal"/>
    <w:link w:val="locationChar"/>
    <w:uiPriority w:val="99"/>
    <w:rsid w:val="00223953"/>
    <w:pPr>
      <w:spacing w:before="180"/>
      <w:jc w:val="right"/>
    </w:pPr>
    <w:rPr>
      <w:b/>
      <w:bCs/>
      <w:szCs w:val="20"/>
    </w:rPr>
  </w:style>
  <w:style w:type="paragraph" w:customStyle="1" w:styleId="name">
    <w:name w:val="name"/>
    <w:basedOn w:val="Normal"/>
    <w:uiPriority w:val="99"/>
    <w:rsid w:val="00223953"/>
    <w:pPr>
      <w:jc w:val="center"/>
    </w:pPr>
    <w:rPr>
      <w:b/>
      <w:bCs/>
      <w:caps/>
      <w:sz w:val="26"/>
      <w:szCs w:val="28"/>
    </w:rPr>
  </w:style>
  <w:style w:type="paragraph" w:customStyle="1" w:styleId="sectionheader">
    <w:name w:val="section header"/>
    <w:basedOn w:val="Normal"/>
    <w:uiPriority w:val="99"/>
    <w:rsid w:val="00223953"/>
    <w:pPr>
      <w:spacing w:before="240"/>
      <w:jc w:val="center"/>
    </w:pPr>
    <w:rPr>
      <w:b/>
      <w:caps/>
      <w:sz w:val="24"/>
    </w:rPr>
  </w:style>
  <w:style w:type="character" w:customStyle="1" w:styleId="locationChar">
    <w:name w:val="location Char"/>
    <w:basedOn w:val="DefaultParagraphFont"/>
    <w:link w:val="location"/>
    <w:uiPriority w:val="99"/>
    <w:locked/>
    <w:rsid w:val="00B1226A"/>
    <w:rPr>
      <w:rFonts w:cs="Times New Roman"/>
      <w:b/>
      <w:bCs/>
      <w:lang w:val="en-US" w:eastAsia="en-US" w:bidi="ar-SA"/>
    </w:rPr>
  </w:style>
  <w:style w:type="character" w:customStyle="1" w:styleId="detailswbullets1Char">
    <w:name w:val="details w/bullets 1 Char"/>
    <w:basedOn w:val="DefaultParagraphFont"/>
    <w:link w:val="detailswbullets1"/>
    <w:uiPriority w:val="99"/>
    <w:locked/>
    <w:rsid w:val="00135932"/>
    <w:rPr>
      <w:szCs w:val="24"/>
    </w:rPr>
  </w:style>
  <w:style w:type="character" w:styleId="Hyperlink">
    <w:name w:val="Hyperlink"/>
    <w:basedOn w:val="DefaultParagraphFont"/>
    <w:uiPriority w:val="99"/>
    <w:rsid w:val="00297A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A5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FD"/>
    <w:rPr>
      <w:sz w:val="0"/>
      <w:szCs w:val="0"/>
    </w:rPr>
  </w:style>
  <w:style w:type="paragraph" w:customStyle="1" w:styleId="Styledetailswbullets1Bold">
    <w:name w:val="Style details w/bullets 1 + Bold"/>
    <w:basedOn w:val="detailswbullets1"/>
    <w:link w:val="Styledetailswbullets1BoldChar"/>
    <w:uiPriority w:val="99"/>
    <w:rsid w:val="00135932"/>
    <w:rPr>
      <w:b/>
      <w:bCs/>
    </w:rPr>
  </w:style>
  <w:style w:type="character" w:customStyle="1" w:styleId="Styledetailswbullets1BoldChar">
    <w:name w:val="Style details w/bullets 1 + Bold Char"/>
    <w:basedOn w:val="detailswbullets1Char"/>
    <w:link w:val="Styledetailswbullets1Bold"/>
    <w:uiPriority w:val="99"/>
    <w:locked/>
    <w:rsid w:val="00135932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B6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C1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B6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C1A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F77D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7D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7D22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7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7D22"/>
    <w:rPr>
      <w:rFonts w:eastAsia="Times New Roman" w:cs="Times New Roman"/>
      <w:b/>
      <w:bCs/>
    </w:rPr>
  </w:style>
  <w:style w:type="paragraph" w:styleId="NoSpacing">
    <w:name w:val="No Spacing"/>
    <w:link w:val="NoSpacingChar"/>
    <w:uiPriority w:val="99"/>
    <w:qFormat/>
    <w:rsid w:val="00521C1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21C1A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113B02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owery@uga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A35C-858D-8E4B-A207-CEDB2727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Two</vt:lpstr>
    </vt:vector>
  </TitlesOfParts>
  <Company>Wharton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Two</dc:title>
  <dc:creator>avir</dc:creator>
  <cp:lastModifiedBy>Ryan Ashley Lowery</cp:lastModifiedBy>
  <cp:revision>2</cp:revision>
  <cp:lastPrinted>2020-03-09T18:44:00Z</cp:lastPrinted>
  <dcterms:created xsi:type="dcterms:W3CDTF">2021-02-08T15:32:00Z</dcterms:created>
  <dcterms:modified xsi:type="dcterms:W3CDTF">2021-02-08T15:32:00Z</dcterms:modified>
</cp:coreProperties>
</file>